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31F08" w14:textId="161A7211" w:rsidR="00295658" w:rsidRDefault="00295658" w:rsidP="00295658">
      <w:pPr>
        <w:pStyle w:val="Heading1"/>
      </w:pPr>
      <w:r w:rsidRPr="00850BB6">
        <w:t xml:space="preserve">POLICY STATEMENT </w:t>
      </w:r>
      <w:r w:rsidR="00E50290">
        <w:t>2.33.05</w:t>
      </w:r>
      <w:r w:rsidRPr="00850BB6">
        <w:br/>
      </w:r>
      <w:r w:rsidR="00E50290" w:rsidRPr="00E50290">
        <w:t>GUIDELINES FOR LSUS FACULTY COMPENSATION</w:t>
      </w:r>
    </w:p>
    <w:p w14:paraId="25D9D098" w14:textId="77777777" w:rsidR="00E50290" w:rsidRPr="00E50290" w:rsidRDefault="00E50290" w:rsidP="00E50290"/>
    <w:p w14:paraId="1E5A16B6" w14:textId="77777777" w:rsidR="00E50290" w:rsidRDefault="00295658" w:rsidP="00E50290">
      <w:pPr>
        <w:pStyle w:val="Digest"/>
        <w:spacing w:after="0"/>
      </w:pPr>
      <w:r w:rsidRPr="00EB059E">
        <w:t>Policy Digest</w:t>
      </w:r>
    </w:p>
    <w:p w14:paraId="2EAE4548" w14:textId="5A62E67C" w:rsidR="00295658" w:rsidRPr="00850BB6" w:rsidRDefault="00295658" w:rsidP="00E50290">
      <w:pPr>
        <w:pStyle w:val="Digest"/>
        <w:spacing w:after="0"/>
      </w:pPr>
      <w:r>
        <w:t>Coordinating</w:t>
      </w:r>
      <w:r w:rsidRPr="00EB059E">
        <w:t xml:space="preserve"> Unit: </w:t>
      </w:r>
      <w:r w:rsidR="00E50290">
        <w:t>Office of Academic Affairs</w:t>
      </w:r>
      <w:r w:rsidRPr="00EB059E">
        <w:br/>
        <w:t xml:space="preserve">Effective: </w:t>
      </w:r>
      <w:r w:rsidR="00E50290">
        <w:t>9</w:t>
      </w:r>
      <w:r w:rsidRPr="00EB059E">
        <w:t>/25/</w:t>
      </w:r>
      <w:r w:rsidR="00E50290">
        <w:t>2017</w:t>
      </w:r>
      <w:r w:rsidRPr="00EB059E">
        <w:br/>
        <w:t xml:space="preserve">Revised: </w:t>
      </w:r>
      <w:r w:rsidR="00E50290">
        <w:t>5/1/2026</w:t>
      </w:r>
    </w:p>
    <w:p w14:paraId="6EA49ED0" w14:textId="705CB9AB" w:rsidR="00295658" w:rsidRPr="00604CA0" w:rsidRDefault="00295658" w:rsidP="00295658">
      <w:pPr>
        <w:pStyle w:val="Heading2"/>
      </w:pPr>
      <w:r w:rsidRPr="00604CA0">
        <w:t>I.</w:t>
      </w:r>
      <w:r w:rsidR="00C94EDD">
        <w:t xml:space="preserve"> </w:t>
      </w:r>
      <w:r w:rsidRPr="00604CA0">
        <w:t xml:space="preserve"> PURPOSE</w:t>
      </w:r>
    </w:p>
    <w:p w14:paraId="62791104" w14:textId="6219C42C" w:rsidR="00641372" w:rsidRDefault="00641372" w:rsidP="00C94EDD">
      <w:pPr>
        <w:spacing w:after="0"/>
        <w:ind w:left="255"/>
        <w:contextualSpacing/>
        <w:rPr>
          <w:rFonts w:ascii="Calibri" w:eastAsia="Calibri" w:hAnsi="Calibri" w:cs="Times New Roman"/>
        </w:rPr>
      </w:pPr>
      <w:r>
        <w:t>LSUS is committed to a compensation plan that promotes fairness and equity.  This policy prescribes guidelines for compensation of full-time and adjunct faculty.  Any deviations to this policy must be approved in writing by the Vice Chancellor for Academic Affairs.</w:t>
      </w:r>
    </w:p>
    <w:p w14:paraId="529D7C9A" w14:textId="3481BDD7" w:rsidR="00295658" w:rsidRDefault="00295658" w:rsidP="00295658">
      <w:pPr>
        <w:pStyle w:val="Heading2"/>
      </w:pPr>
      <w:r w:rsidRPr="00850BB6">
        <w:t>I</w:t>
      </w:r>
      <w:r>
        <w:t>I</w:t>
      </w:r>
      <w:r w:rsidRPr="00850BB6">
        <w:t>.</w:t>
      </w:r>
      <w:r w:rsidR="00C94EDD">
        <w:t xml:space="preserve"> </w:t>
      </w:r>
      <w:r>
        <w:t>DEFINITIONS</w:t>
      </w:r>
    </w:p>
    <w:p w14:paraId="1344C60A" w14:textId="4218A9BD" w:rsidR="00673340" w:rsidRPr="00C94EDD" w:rsidRDefault="00673340" w:rsidP="00C94EDD">
      <w:pPr>
        <w:pStyle w:val="ListParagraph"/>
        <w:numPr>
          <w:ilvl w:val="0"/>
          <w:numId w:val="35"/>
        </w:numPr>
        <w:spacing w:after="0"/>
        <w:rPr>
          <w:rFonts w:ascii="Calibri" w:eastAsia="Calibri" w:hAnsi="Calibri" w:cs="Times New Roman"/>
        </w:rPr>
      </w:pPr>
      <w:r w:rsidRPr="00C94EDD">
        <w:rPr>
          <w:b/>
        </w:rPr>
        <w:t>Course Load</w:t>
      </w:r>
      <w:r w:rsidR="00B737E1" w:rsidRPr="00C94EDD">
        <w:rPr>
          <w:b/>
        </w:rPr>
        <w:t>-</w:t>
      </w:r>
      <w:r w:rsidRPr="00C94EDD">
        <w:rPr>
          <w:b/>
        </w:rPr>
        <w:t xml:space="preserve"> </w:t>
      </w:r>
      <w:r>
        <w:t>Course load is the number of credit hours by semester to be taught by a faculty member.  Based on Department Chair input, course loads are proposed by Deans and approved by the Vice Chancellor for Academic Affairs.</w:t>
      </w:r>
    </w:p>
    <w:p w14:paraId="506E2993" w14:textId="77777777" w:rsidR="00673340" w:rsidRDefault="00673340" w:rsidP="00673340">
      <w:pPr>
        <w:spacing w:after="0"/>
      </w:pPr>
    </w:p>
    <w:p w14:paraId="2D3DD23B" w14:textId="0EF549E9" w:rsidR="00673340" w:rsidRDefault="00673340" w:rsidP="00B737E1">
      <w:pPr>
        <w:pStyle w:val="ListParagraph"/>
        <w:numPr>
          <w:ilvl w:val="0"/>
          <w:numId w:val="35"/>
        </w:numPr>
        <w:spacing w:after="0"/>
      </w:pPr>
      <w:r w:rsidRPr="00B737E1">
        <w:rPr>
          <w:b/>
        </w:rPr>
        <w:t>Overload</w:t>
      </w:r>
      <w:r w:rsidR="00B737E1" w:rsidRPr="00B737E1">
        <w:rPr>
          <w:b/>
        </w:rPr>
        <w:t>-</w:t>
      </w:r>
      <w:r w:rsidRPr="00B737E1">
        <w:rPr>
          <w:b/>
        </w:rPr>
        <w:t xml:space="preserve"> </w:t>
      </w:r>
      <w:r w:rsidRPr="00B737E1">
        <w:rPr>
          <w:rFonts w:eastAsia="Times New Roman"/>
        </w:rPr>
        <w:t>Under certain circumstances and with the recommendation of the relevant chair and the Dean, the Vice Chancellor for Academic Affairs will consider and sometimes agree to grant an overload for extra compensation</w:t>
      </w:r>
      <w:r>
        <w:t xml:space="preserve">.  An overload is defined as any coursework taught </w:t>
      </w:r>
      <w:r w:rsidR="00DE3225">
        <w:t>more than</w:t>
      </w:r>
      <w:r>
        <w:t xml:space="preserve"> the normal course load. </w:t>
      </w:r>
      <w:r w:rsidRPr="00B737E1">
        <w:rPr>
          <w:rFonts w:eastAsia="Times New Roman"/>
        </w:rPr>
        <w:t>Additional compensation for “overloads” is discouraged when a faculty member already has a “download” or alternative work assignment.</w:t>
      </w:r>
      <w:r>
        <w:t xml:space="preserve">  Exceptions may be granted by the Vice Chancellor for Academic Affairs.  Coursework taught in an overload status will be compensated at the same rate as compensation paid to an adjunct with similar qualifications.  Current compensation for adjuncts, as well as regular faculty teaching overload is noted in Appendix A.</w:t>
      </w:r>
      <w:r w:rsidR="00F702BC">
        <w:t xml:space="preserve"> </w:t>
      </w:r>
      <w:r w:rsidR="00F702BC" w:rsidRPr="00F702BC">
        <w:t>Independent Studies are not part of faculty load and are not compensated.</w:t>
      </w:r>
    </w:p>
    <w:p w14:paraId="00F52810" w14:textId="77777777" w:rsidR="00673340" w:rsidRDefault="00673340" w:rsidP="00673340">
      <w:pPr>
        <w:spacing w:after="0"/>
      </w:pPr>
    </w:p>
    <w:p w14:paraId="580EAB41" w14:textId="201A1E60" w:rsidR="00673340" w:rsidRDefault="00673340" w:rsidP="00B737E1">
      <w:pPr>
        <w:pStyle w:val="ListParagraph"/>
        <w:numPr>
          <w:ilvl w:val="0"/>
          <w:numId w:val="35"/>
        </w:numPr>
        <w:spacing w:after="0"/>
      </w:pPr>
      <w:r w:rsidRPr="00B737E1">
        <w:rPr>
          <w:b/>
        </w:rPr>
        <w:lastRenderedPageBreak/>
        <w:t>Download</w:t>
      </w:r>
      <w:r w:rsidR="00B737E1" w:rsidRPr="00C94EDD">
        <w:rPr>
          <w:bCs/>
        </w:rPr>
        <w:t>-</w:t>
      </w:r>
      <w:r w:rsidRPr="00C94EDD">
        <w:rPr>
          <w:bCs/>
        </w:rPr>
        <w:t xml:space="preserve"> </w:t>
      </w:r>
      <w:r>
        <w:t xml:space="preserve">A download is defined as substitution </w:t>
      </w:r>
      <w:r w:rsidR="00DE3225">
        <w:t>for</w:t>
      </w:r>
      <w:r>
        <w:t xml:space="preserve"> other duties for assigned in-load coursework.</w:t>
      </w:r>
    </w:p>
    <w:p w14:paraId="45CCB45B" w14:textId="77777777" w:rsidR="00673340" w:rsidRDefault="00673340" w:rsidP="00673340">
      <w:pPr>
        <w:spacing w:after="0"/>
      </w:pPr>
    </w:p>
    <w:p w14:paraId="592FE0E5" w14:textId="24241FD3" w:rsidR="00673340" w:rsidRDefault="00673340" w:rsidP="00B737E1">
      <w:pPr>
        <w:pStyle w:val="ListParagraph"/>
        <w:numPr>
          <w:ilvl w:val="0"/>
          <w:numId w:val="35"/>
        </w:numPr>
        <w:spacing w:after="0"/>
      </w:pPr>
      <w:r w:rsidRPr="00B737E1">
        <w:rPr>
          <w:b/>
        </w:rPr>
        <w:t>Low Enrollment Class</w:t>
      </w:r>
      <w:r w:rsidR="00B737E1" w:rsidRPr="00C94EDD">
        <w:rPr>
          <w:bCs/>
        </w:rPr>
        <w:t>-</w:t>
      </w:r>
      <w:r w:rsidRPr="00B737E1">
        <w:rPr>
          <w:b/>
        </w:rPr>
        <w:t xml:space="preserve"> </w:t>
      </w:r>
      <w:r>
        <w:t xml:space="preserve">A low enrollment class is any class determined by the Office of Academic Affairs that has insufficient enrollment to sustain the cost of teaching the course.  Low enrollment numbers are generally determined by the class enrollment on the census date for the relevant semester, but specific criteria for advance identification of low enrollment classes will be determined by the Vice Chancellor for Academic Affairs.  </w:t>
      </w:r>
    </w:p>
    <w:p w14:paraId="1CD3A93B" w14:textId="77777777" w:rsidR="00673340" w:rsidRDefault="00673340" w:rsidP="00673340">
      <w:pPr>
        <w:spacing w:after="0"/>
      </w:pPr>
    </w:p>
    <w:p w14:paraId="7F0FEF75" w14:textId="5C905588" w:rsidR="00673340" w:rsidRDefault="00673340" w:rsidP="00B737E1">
      <w:pPr>
        <w:pStyle w:val="ListParagraph"/>
        <w:numPr>
          <w:ilvl w:val="0"/>
          <w:numId w:val="35"/>
        </w:numPr>
        <w:spacing w:after="0"/>
      </w:pPr>
      <w:r w:rsidRPr="00B737E1">
        <w:rPr>
          <w:b/>
        </w:rPr>
        <w:t>Large Class</w:t>
      </w:r>
      <w:r w:rsidR="00B737E1" w:rsidRPr="00C94EDD">
        <w:rPr>
          <w:bCs/>
        </w:rPr>
        <w:t>-</w:t>
      </w:r>
      <w:r w:rsidRPr="00B737E1">
        <w:rPr>
          <w:b/>
        </w:rPr>
        <w:t xml:space="preserve"> </w:t>
      </w:r>
      <w:r>
        <w:t>A large class is any class with enrollment that exceeds 60 students.  This includes undergraduate and graduate courses across the University.</w:t>
      </w:r>
    </w:p>
    <w:p w14:paraId="46B9461D" w14:textId="77777777" w:rsidR="00295658" w:rsidRDefault="00295658" w:rsidP="00295658">
      <w:pPr>
        <w:pStyle w:val="Heading2"/>
      </w:pPr>
      <w:r>
        <w:t>III. POLICY</w:t>
      </w:r>
    </w:p>
    <w:p w14:paraId="6A703215" w14:textId="001E3F64" w:rsidR="000A0890" w:rsidRDefault="000A0890" w:rsidP="000A0890">
      <w:pPr>
        <w:spacing w:after="0"/>
        <w:ind w:left="330"/>
        <w:rPr>
          <w:rFonts w:ascii="Calibri" w:eastAsia="Calibri" w:hAnsi="Calibri" w:cs="Times New Roman"/>
        </w:rPr>
      </w:pPr>
      <w:r>
        <w:t>Many factors are considered in the determination of faculty compensation.  These factors include, but are not limited to, education, experience, expertise, responsibilities, and external laws, regulations, and accreditation policies.</w:t>
      </w:r>
    </w:p>
    <w:p w14:paraId="18583316" w14:textId="20650177" w:rsidR="00295658" w:rsidRDefault="00295658" w:rsidP="00295658">
      <w:pPr>
        <w:pStyle w:val="Heading2"/>
      </w:pPr>
      <w:r>
        <w:t xml:space="preserve">IV. </w:t>
      </w:r>
      <w:r w:rsidR="00A54510" w:rsidRPr="00A54510">
        <w:t>RESPONSIBILITIES</w:t>
      </w:r>
    </w:p>
    <w:p w14:paraId="5710C530" w14:textId="13BA78B0" w:rsidR="00E8753C" w:rsidRPr="00DC5C0B" w:rsidRDefault="00E8753C" w:rsidP="00E8753C">
      <w:pPr>
        <w:pStyle w:val="ListParagraph"/>
        <w:numPr>
          <w:ilvl w:val="1"/>
          <w:numId w:val="19"/>
        </w:numPr>
        <w:spacing w:after="0" w:line="276" w:lineRule="auto"/>
        <w:rPr>
          <w:rFonts w:ascii="Calibri" w:eastAsia="Calibri" w:hAnsi="Calibri" w:cs="Times New Roman"/>
          <w:bCs/>
        </w:rPr>
      </w:pPr>
      <w:r w:rsidRPr="00DC5C0B">
        <w:rPr>
          <w:bCs/>
        </w:rPr>
        <w:t>Department Chairs: In consultation with the college Dean, Chairs assign faculty to teach all scheduled courses.  Department Chairs initiate timely action to compensate faculty in accordance with this policy.  Any exception to this policy must be submitted for approval through the Dean to the Vice Chancellor for Academic Affairs.  This includes initiation of Offer Letters and Additional Compensation Forms.  Department Chairs certify that assigned faculty complete all courses in accordance with established procedures in Academic Affairs.</w:t>
      </w:r>
    </w:p>
    <w:p w14:paraId="396999F4" w14:textId="0D54741F" w:rsidR="00E8753C" w:rsidRPr="00DC5C0B" w:rsidRDefault="00E8753C" w:rsidP="00E8753C">
      <w:pPr>
        <w:pStyle w:val="ListParagraph"/>
        <w:numPr>
          <w:ilvl w:val="1"/>
          <w:numId w:val="19"/>
        </w:numPr>
        <w:spacing w:after="0" w:line="276" w:lineRule="auto"/>
        <w:rPr>
          <w:rFonts w:ascii="Calibri" w:eastAsia="Calibri" w:hAnsi="Calibri" w:cs="Times New Roman"/>
          <w:bCs/>
        </w:rPr>
      </w:pPr>
      <w:r w:rsidRPr="00DC5C0B">
        <w:rPr>
          <w:bCs/>
        </w:rPr>
        <w:t>Deans: Deans approve all faculty compensation actions initiated by Department Chairs that are consistent with this policy.  Any exception to this policy must be submitted for approval to the Vice Chancellor for Academic Affairs.  They also provide input concerning identification and disposition of low enrollment courses to the Office of Academic Affairs.  Deans monitor faculty annual earning to ensure PM-3 limits are not exceeded.</w:t>
      </w:r>
    </w:p>
    <w:p w14:paraId="2344057A" w14:textId="04396F09" w:rsidR="00E8753C" w:rsidRPr="00E8753C" w:rsidRDefault="00E8753C" w:rsidP="00E8753C">
      <w:pPr>
        <w:pStyle w:val="ListParagraph"/>
        <w:numPr>
          <w:ilvl w:val="1"/>
          <w:numId w:val="19"/>
        </w:numPr>
        <w:spacing w:after="0" w:line="276" w:lineRule="auto"/>
        <w:rPr>
          <w:rFonts w:ascii="Calibri" w:eastAsia="Calibri" w:hAnsi="Calibri" w:cs="Times New Roman"/>
          <w:b/>
        </w:rPr>
      </w:pPr>
      <w:r w:rsidRPr="00DC5C0B">
        <w:rPr>
          <w:bCs/>
        </w:rPr>
        <w:t>Vice Chancellor for Academic Affairs: The Vice Chancellor for Academic Affairs is responsible for overall administration of faculty</w:t>
      </w:r>
      <w:r>
        <w:t xml:space="preserve"> compensation in </w:t>
      </w:r>
      <w:r>
        <w:lastRenderedPageBreak/>
        <w:t xml:space="preserve">accordance with this policy, including approval of permitted </w:t>
      </w:r>
      <w:r w:rsidR="00216B7B">
        <w:t>exceptions</w:t>
      </w:r>
      <w:r>
        <w:t xml:space="preserve"> to the policy.  The Vice Chancellor for Academic also approves those low enrollment courses that will be taught and offers faculty who teach these courses reduced compensation.  Academic Affairs will periodically review all faculty compensation and recommend changes, if needed, to the Chancellor.</w:t>
      </w:r>
    </w:p>
    <w:p w14:paraId="0392D903" w14:textId="3C8C40C4" w:rsidR="00E8753C" w:rsidRPr="00E8753C" w:rsidRDefault="00E8753C" w:rsidP="00E8753C">
      <w:pPr>
        <w:pStyle w:val="ListParagraph"/>
        <w:numPr>
          <w:ilvl w:val="1"/>
          <w:numId w:val="19"/>
        </w:numPr>
        <w:spacing w:after="0" w:line="276" w:lineRule="auto"/>
        <w:rPr>
          <w:rFonts w:ascii="Calibri" w:eastAsia="Calibri" w:hAnsi="Calibri" w:cs="Times New Roman"/>
          <w:b/>
        </w:rPr>
      </w:pPr>
      <w:r w:rsidRPr="00DC5C0B">
        <w:rPr>
          <w:bCs/>
        </w:rPr>
        <w:t xml:space="preserve">Vice Chancellor for Finance and </w:t>
      </w:r>
      <w:r w:rsidR="00216B7B" w:rsidRPr="00DC5C0B">
        <w:rPr>
          <w:bCs/>
        </w:rPr>
        <w:t>Administration</w:t>
      </w:r>
      <w:r w:rsidR="00216B7B" w:rsidRPr="00E8753C">
        <w:rPr>
          <w:b/>
        </w:rPr>
        <w:t>:</w:t>
      </w:r>
      <w:r w:rsidRPr="00E8753C">
        <w:rPr>
          <w:b/>
        </w:rPr>
        <w:t xml:space="preserve"> </w:t>
      </w:r>
      <w:r>
        <w:t xml:space="preserve">The Vice Chancellor for Finance and Administration coordinates with the Office of Academic Affairs on matters of faculty compensation.  In addition, the Vice Chancellor for Finance and Administration </w:t>
      </w:r>
      <w:r w:rsidR="00216B7B">
        <w:t>review</w:t>
      </w:r>
      <w:r>
        <w:t xml:space="preserve"> all correspondence relative to faculty to ensure compensation actions fall within the constraints of the budget and established procedures.</w:t>
      </w:r>
    </w:p>
    <w:p w14:paraId="339C0AB4" w14:textId="77777777" w:rsidR="00E8753C" w:rsidRPr="00E8753C" w:rsidRDefault="00E8753C" w:rsidP="00E8753C">
      <w:pPr>
        <w:pStyle w:val="ListParagraph"/>
        <w:numPr>
          <w:ilvl w:val="1"/>
          <w:numId w:val="19"/>
        </w:numPr>
        <w:spacing w:after="0" w:line="276" w:lineRule="auto"/>
        <w:rPr>
          <w:rFonts w:ascii="Calibri" w:eastAsia="Calibri" w:hAnsi="Calibri" w:cs="Times New Roman"/>
          <w:b/>
        </w:rPr>
      </w:pPr>
      <w:r w:rsidRPr="00DC5C0B">
        <w:rPr>
          <w:bCs/>
        </w:rPr>
        <w:t>The Executive Director of Human Resource and Risk Management</w:t>
      </w:r>
      <w:r w:rsidRPr="00E8753C">
        <w:rPr>
          <w:b/>
        </w:rPr>
        <w:t xml:space="preserve">: </w:t>
      </w:r>
      <w:r>
        <w:t>The Executive Director of Human Resource and Risk Management verifies that all administration relative to faculty compensation is prepared in accordance with established policy and that all compensation actions are promptly entered into the payroll system.</w:t>
      </w:r>
    </w:p>
    <w:p w14:paraId="0453613A" w14:textId="77777777" w:rsidR="00E8753C" w:rsidRDefault="00E8753C" w:rsidP="00E8753C">
      <w:pPr>
        <w:spacing w:after="0"/>
        <w:rPr>
          <w:b/>
        </w:rPr>
      </w:pPr>
    </w:p>
    <w:p w14:paraId="35F74548" w14:textId="51EAB56D" w:rsidR="00295658" w:rsidRDefault="00295658" w:rsidP="00295658">
      <w:pPr>
        <w:pStyle w:val="Heading2"/>
      </w:pPr>
      <w:r>
        <w:t xml:space="preserve">V. </w:t>
      </w:r>
      <w:r w:rsidR="00B375FB" w:rsidRPr="00B375FB">
        <w:t>FALL/SPRING SEMESTER</w:t>
      </w:r>
    </w:p>
    <w:p w14:paraId="32D05968" w14:textId="1E710296" w:rsidR="00AC72D1" w:rsidRPr="00AE011A" w:rsidRDefault="00AC72D1" w:rsidP="00AE011A">
      <w:pPr>
        <w:spacing w:after="0" w:line="276" w:lineRule="auto"/>
        <w:ind w:left="270"/>
        <w:rPr>
          <w:rFonts w:ascii="Calibri" w:eastAsia="Calibri" w:hAnsi="Calibri" w:cs="Times New Roman"/>
          <w:b/>
        </w:rPr>
      </w:pPr>
      <w:r>
        <w:t>The Office of Academic Affairs will review low enrollment courses offered during the fall and spring semesters. The Vice Chancellor for Academic Affairs grants approval of low enrollment courses and may offer reduced compensation to faculty/adjuncts. Faculty/Adjuncts have the option to accept reduced compensation or not teach the class. The form in Appendix C will be completed for these low enrollment classes and submitted to the Office of Human Resource Management prior to the scheduled start of the class.</w:t>
      </w:r>
    </w:p>
    <w:p w14:paraId="113E51BD" w14:textId="633259E5" w:rsidR="00295658" w:rsidRDefault="00295658" w:rsidP="00295658">
      <w:pPr>
        <w:pStyle w:val="Heading2"/>
      </w:pPr>
      <w:r>
        <w:t xml:space="preserve">VI. </w:t>
      </w:r>
      <w:r w:rsidR="00CC6331" w:rsidRPr="00CC6331">
        <w:t>SUMMER SEMESTER</w:t>
      </w:r>
    </w:p>
    <w:p w14:paraId="52B4E8E9" w14:textId="77777777" w:rsidR="00855998" w:rsidRPr="00855998" w:rsidRDefault="00855998" w:rsidP="00855998">
      <w:pPr>
        <w:pStyle w:val="ListParagraph"/>
        <w:numPr>
          <w:ilvl w:val="0"/>
          <w:numId w:val="22"/>
        </w:numPr>
      </w:pPr>
      <w:r w:rsidRPr="00855998">
        <w:t>Typically, the Summer Semester is defined as the period between the Spring Semester graduation and the first day of the Fall Semester, although the summer session for accelerated online courses may extend before spring semester graduation and/or after the first day of the fall traditional semester.</w:t>
      </w:r>
    </w:p>
    <w:p w14:paraId="7C4BBBCC" w14:textId="77777777" w:rsidR="000C5E8D" w:rsidRDefault="000C5E8D" w:rsidP="000C5E8D">
      <w:pPr>
        <w:pStyle w:val="ListParagraph"/>
        <w:numPr>
          <w:ilvl w:val="0"/>
          <w:numId w:val="22"/>
        </w:numPr>
        <w:spacing w:after="0" w:line="276" w:lineRule="auto"/>
      </w:pPr>
      <w:r>
        <w:t>The normal course load for the Summer Semester is a total of six hours taught over the entire Summer Semester, regardless of when taught.</w:t>
      </w:r>
    </w:p>
    <w:p w14:paraId="0070806B" w14:textId="77777777" w:rsidR="000C5E8D" w:rsidRDefault="000C5E8D" w:rsidP="000C5E8D">
      <w:pPr>
        <w:pStyle w:val="ListParagraph"/>
        <w:numPr>
          <w:ilvl w:val="0"/>
          <w:numId w:val="22"/>
        </w:numPr>
        <w:spacing w:after="0" w:line="276" w:lineRule="auto"/>
      </w:pPr>
      <w:r>
        <w:lastRenderedPageBreak/>
        <w:t>Current compensation levels for the Summer Semester are noted in Appendix B.</w:t>
      </w:r>
    </w:p>
    <w:p w14:paraId="6E0B5007" w14:textId="77777777" w:rsidR="00855998" w:rsidRPr="00855998" w:rsidRDefault="00855998" w:rsidP="00855998">
      <w:pPr>
        <w:pStyle w:val="ListParagraph"/>
        <w:numPr>
          <w:ilvl w:val="0"/>
          <w:numId w:val="22"/>
        </w:numPr>
      </w:pPr>
      <w:r w:rsidRPr="00855998">
        <w:t>A summer course that does not meet minimum enrollment as determined by the Vice Chancellor for Academic Affairs may be offered at reduced compensation (see Appendix C2).</w:t>
      </w:r>
    </w:p>
    <w:p w14:paraId="1D080DDF" w14:textId="77777777" w:rsidR="000C5E8D" w:rsidRDefault="000C5E8D" w:rsidP="000C5E8D">
      <w:pPr>
        <w:pStyle w:val="ListParagraph"/>
        <w:numPr>
          <w:ilvl w:val="0"/>
          <w:numId w:val="22"/>
        </w:numPr>
        <w:spacing w:after="0" w:line="276" w:lineRule="auto"/>
      </w:pPr>
      <w:r>
        <w:t>Additional compensation for large online classes will be paid during the Summer Semester, in addition to the base compensation outlined in Appendix B.  Enrollment numbers are generally determined by the class enrollment on the census date for the relevant semester.</w:t>
      </w:r>
    </w:p>
    <w:p w14:paraId="4FCDD33C" w14:textId="4FCDB3C2" w:rsidR="00295658" w:rsidRDefault="00295658" w:rsidP="00295658">
      <w:pPr>
        <w:pStyle w:val="Heading2"/>
      </w:pPr>
      <w:r>
        <w:t xml:space="preserve">VII. </w:t>
      </w:r>
      <w:r w:rsidR="006D3599" w:rsidRPr="006D3599">
        <w:t>ADJUNCT FACULTY PAY</w:t>
      </w:r>
    </w:p>
    <w:p w14:paraId="72C7F52B" w14:textId="77777777" w:rsidR="007E2B67" w:rsidRDefault="007E2B67" w:rsidP="007E2B67">
      <w:pPr>
        <w:pStyle w:val="ListParagraph"/>
        <w:numPr>
          <w:ilvl w:val="0"/>
          <w:numId w:val="23"/>
        </w:numPr>
        <w:spacing w:after="0" w:line="276" w:lineRule="auto"/>
        <w:rPr>
          <w:rFonts w:ascii="Calibri" w:eastAsia="Calibri" w:hAnsi="Calibri" w:cs="Times New Roman"/>
        </w:rPr>
      </w:pPr>
      <w:r>
        <w:t>Adjunct faculty play a critical role in the success of our academic programs.  PM-23 outlines guidance concerning the appointment and rights of adjunct faculty.  Adjunct compensation is recommended by Department Chairs and approved by the Dean.  Any exception to this Policy Statement must also be approved by the Vice Chancellor for Academic Affairs.  Factors in determination of adjunct pay include discipline, education, experience, credentials, and licensure.</w:t>
      </w:r>
    </w:p>
    <w:p w14:paraId="4BFD05A0" w14:textId="77777777" w:rsidR="007E2B67" w:rsidRPr="007E2B67" w:rsidRDefault="007E2B67" w:rsidP="007E2B67">
      <w:pPr>
        <w:pStyle w:val="ListParagraph"/>
        <w:numPr>
          <w:ilvl w:val="0"/>
          <w:numId w:val="23"/>
        </w:numPr>
      </w:pPr>
      <w:r w:rsidRPr="007E2B67">
        <w:t>Adjunct faculty compensation will be determined in accordance with Appendix A of this policy. Low-enrollment pay for adjuncts who agree to teach at a reduced rate are determined in Appendix C1.</w:t>
      </w:r>
    </w:p>
    <w:p w14:paraId="5E363692" w14:textId="77777777" w:rsidR="007E2B67" w:rsidRDefault="007E2B67" w:rsidP="007E2B67">
      <w:pPr>
        <w:pStyle w:val="ListParagraph"/>
        <w:numPr>
          <w:ilvl w:val="0"/>
          <w:numId w:val="23"/>
        </w:numPr>
        <w:spacing w:after="0" w:line="276" w:lineRule="auto"/>
      </w:pPr>
      <w:r>
        <w:t>Adjunct faculty are authorized to teach up to six hours per traditional Fall, Spring, and Summer Semester.  Exceptions to this must be approved in writing by the Office of Human Resource Management.</w:t>
      </w:r>
    </w:p>
    <w:p w14:paraId="27077FDA" w14:textId="24876357" w:rsidR="00295658" w:rsidRDefault="00295658" w:rsidP="00295658">
      <w:pPr>
        <w:pStyle w:val="Heading2"/>
      </w:pPr>
      <w:r>
        <w:t xml:space="preserve">VIII. </w:t>
      </w:r>
      <w:r w:rsidR="00CD1FD0" w:rsidRPr="00CD1FD0">
        <w:t>COMPENSATION FOR LARGE CLASSES</w:t>
      </w:r>
    </w:p>
    <w:p w14:paraId="73832D96" w14:textId="77777777" w:rsidR="002E7897" w:rsidRDefault="002E7897" w:rsidP="002E7897">
      <w:pPr>
        <w:pStyle w:val="ListParagraph"/>
        <w:numPr>
          <w:ilvl w:val="0"/>
          <w:numId w:val="24"/>
        </w:numPr>
        <w:spacing w:after="0" w:line="276" w:lineRule="auto"/>
        <w:rPr>
          <w:rFonts w:ascii="Calibri" w:eastAsia="Calibri" w:hAnsi="Calibri" w:cs="Times New Roman"/>
        </w:rPr>
      </w:pPr>
      <w:r>
        <w:t>Compensation for teaching large classes will be administered in accordance with Appendix D of this policy.</w:t>
      </w:r>
    </w:p>
    <w:p w14:paraId="0A78C5E9" w14:textId="77777777" w:rsidR="002E7897" w:rsidRDefault="002E7897" w:rsidP="002E7897">
      <w:pPr>
        <w:pStyle w:val="ListParagraph"/>
        <w:numPr>
          <w:ilvl w:val="0"/>
          <w:numId w:val="24"/>
        </w:numPr>
        <w:spacing w:after="0" w:line="276" w:lineRule="auto"/>
      </w:pPr>
      <w:r>
        <w:t>When a faculty member is scheduled to teach classes in overload, large classes should be scheduled as in-load.</w:t>
      </w:r>
    </w:p>
    <w:p w14:paraId="46F16ABA" w14:textId="77777777" w:rsidR="006A1285" w:rsidRDefault="006A1285" w:rsidP="006A1285">
      <w:pPr>
        <w:spacing w:after="0" w:line="276" w:lineRule="auto"/>
      </w:pPr>
    </w:p>
    <w:p w14:paraId="5C6A9426" w14:textId="77777777" w:rsidR="006A1285" w:rsidRDefault="006A1285" w:rsidP="006A1285">
      <w:pPr>
        <w:spacing w:after="0" w:line="276" w:lineRule="auto"/>
      </w:pPr>
    </w:p>
    <w:p w14:paraId="64271663" w14:textId="7BBFC95A" w:rsidR="00295658" w:rsidRDefault="00295658" w:rsidP="00295658">
      <w:pPr>
        <w:pStyle w:val="Heading2"/>
      </w:pPr>
      <w:r>
        <w:t xml:space="preserve">IX. </w:t>
      </w:r>
      <w:r w:rsidR="00DD60DE" w:rsidRPr="00DD60DE">
        <w:t>PERMANENT MEMORANDUM 3</w:t>
      </w:r>
    </w:p>
    <w:p w14:paraId="3F7DC338" w14:textId="56B71090" w:rsidR="006969FF" w:rsidRDefault="00FD2F73" w:rsidP="006969FF">
      <w:pPr>
        <w:pStyle w:val="ListParagraph"/>
        <w:numPr>
          <w:ilvl w:val="0"/>
          <w:numId w:val="30"/>
        </w:numPr>
        <w:spacing w:after="0" w:line="276" w:lineRule="auto"/>
      </w:pPr>
      <w:r>
        <w:t>Employee compensation shall not exceed Compensation Limitations as</w:t>
      </w:r>
    </w:p>
    <w:p w14:paraId="04200D52" w14:textId="4BE658E3" w:rsidR="00FD2F73" w:rsidRPr="006969FF" w:rsidRDefault="00FD2F73" w:rsidP="00083F79">
      <w:pPr>
        <w:pStyle w:val="ListParagraph"/>
        <w:spacing w:after="0" w:line="276" w:lineRule="auto"/>
        <w:ind w:left="1425"/>
        <w:rPr>
          <w:rFonts w:ascii="Calibri" w:eastAsia="Calibri" w:hAnsi="Calibri" w:cs="Times New Roman"/>
        </w:rPr>
      </w:pPr>
      <w:r>
        <w:lastRenderedPageBreak/>
        <w:t xml:space="preserve">outlined in PM-3, found here: </w:t>
      </w:r>
      <w:r w:rsidR="006969FF">
        <w:t xml:space="preserve"> </w:t>
      </w:r>
      <w:hyperlink r:id="rId10" w:history="1">
        <w:r w:rsidR="006969FF" w:rsidRPr="005115B4">
          <w:rPr>
            <w:rStyle w:val="Hyperlink"/>
          </w:rPr>
          <w:t>https://www.lsu.edu/administration/policies/pmfiles/pm-03.pdf</w:t>
        </w:r>
      </w:hyperlink>
      <w:r>
        <w:t>. Employees are responsible for tracking their compensation limitations.</w:t>
      </w:r>
    </w:p>
    <w:p w14:paraId="5CABBFDB" w14:textId="79C816EA" w:rsidR="00FD2F73" w:rsidRDefault="00FD2F73" w:rsidP="000337ED">
      <w:pPr>
        <w:pStyle w:val="ListParagraph"/>
        <w:numPr>
          <w:ilvl w:val="0"/>
          <w:numId w:val="30"/>
        </w:numPr>
        <w:spacing w:after="0" w:line="276" w:lineRule="auto"/>
      </w:pPr>
      <w:r>
        <w:t>Faculty who are at the PM-3 limit, or who will exceed the limit with the addition of a scheduled class, will not be allowed to teach.</w:t>
      </w:r>
    </w:p>
    <w:p w14:paraId="25DAAFB1" w14:textId="7CDEA2FF" w:rsidR="00295658" w:rsidRPr="00850BB6" w:rsidRDefault="00295658" w:rsidP="006969FF">
      <w:pPr>
        <w:pStyle w:val="ListParagraph"/>
        <w:ind w:left="2520"/>
        <w:contextualSpacing w:val="0"/>
      </w:pPr>
    </w:p>
    <w:p w14:paraId="5192D458" w14:textId="3A69A38B" w:rsidR="00295658" w:rsidRDefault="00295658" w:rsidP="00295658">
      <w:pPr>
        <w:pStyle w:val="Heading2"/>
      </w:pPr>
      <w:r>
        <w:t xml:space="preserve">X. </w:t>
      </w:r>
      <w:r w:rsidR="00DF1EB7" w:rsidRPr="00DF1EB7">
        <w:t>DEPARTMENT CHAIR COMPENSATION</w:t>
      </w:r>
    </w:p>
    <w:p w14:paraId="64A496C3" w14:textId="77777777" w:rsidR="00A31526" w:rsidRPr="00A31526" w:rsidRDefault="00A31526" w:rsidP="00A31526">
      <w:pPr>
        <w:pStyle w:val="ListParagraph"/>
        <w:numPr>
          <w:ilvl w:val="0"/>
          <w:numId w:val="25"/>
        </w:numPr>
      </w:pPr>
      <w:r w:rsidRPr="00A31526">
        <w:t>Department Chairs are appointed for renewable terms, in accordance with LSUS Policy Statement 2.11.01: Department Chairs.</w:t>
      </w:r>
    </w:p>
    <w:p w14:paraId="2C2C6E2A" w14:textId="77777777" w:rsidR="00A41E7E" w:rsidRDefault="00A41E7E" w:rsidP="00A41E7E">
      <w:pPr>
        <w:pStyle w:val="ListParagraph"/>
        <w:numPr>
          <w:ilvl w:val="0"/>
          <w:numId w:val="25"/>
        </w:numPr>
        <w:spacing w:after="0" w:line="276" w:lineRule="auto"/>
      </w:pPr>
      <w:r>
        <w:t>Department Chairs receive a stipend based on the size and complexity of their departments.  Guidance on Department Chair stipends in noted in Appendix E.</w:t>
      </w:r>
    </w:p>
    <w:p w14:paraId="3F8B0944" w14:textId="77777777" w:rsidR="00A41E7E" w:rsidRDefault="00A41E7E" w:rsidP="00A41E7E">
      <w:pPr>
        <w:pStyle w:val="ListParagraph"/>
        <w:numPr>
          <w:ilvl w:val="0"/>
          <w:numId w:val="25"/>
        </w:numPr>
        <w:spacing w:after="0" w:line="276" w:lineRule="auto"/>
      </w:pPr>
      <w:r>
        <w:t>During the Summer Semester, nine-month Department Chairs are compensated at 2/9 (0.2222) of their nine-month base salary and have a three-hour course load.  Chair compensation of 22.22% is comprised of: 14.72% for administrative duties and 7.5% for the three-hour course load.  They are expected to be available during the entire Summer Semester.</w:t>
      </w:r>
    </w:p>
    <w:p w14:paraId="53EF3E88" w14:textId="77777777" w:rsidR="00A41E7E" w:rsidRDefault="00A41E7E" w:rsidP="00A41E7E">
      <w:pPr>
        <w:pStyle w:val="ListParagraph"/>
        <w:numPr>
          <w:ilvl w:val="0"/>
          <w:numId w:val="25"/>
        </w:numPr>
        <w:spacing w:after="0" w:line="276" w:lineRule="auto"/>
      </w:pPr>
      <w:r>
        <w:t>Guidance on performance expectations of Department Chairs is outlined in LSUS Policy Statement 2.11.01: Department Chairs.</w:t>
      </w:r>
    </w:p>
    <w:p w14:paraId="1C3ED687" w14:textId="1A1F21F7" w:rsidR="00A41E7E" w:rsidRDefault="00A41E7E" w:rsidP="00A41E7E">
      <w:pPr>
        <w:pStyle w:val="ListParagraph"/>
        <w:numPr>
          <w:ilvl w:val="0"/>
          <w:numId w:val="25"/>
        </w:numPr>
        <w:spacing w:after="0" w:line="276" w:lineRule="auto"/>
      </w:pPr>
      <w:r>
        <w:t xml:space="preserve">Deans will submit an Offer Letter, PER-1, and job description for all new Department Chair appointments or renewals of </w:t>
      </w:r>
      <w:r w:rsidR="00CD33CC">
        <w:t>appointments</w:t>
      </w:r>
      <w:r>
        <w:t>.</w:t>
      </w:r>
    </w:p>
    <w:p w14:paraId="37035F0A" w14:textId="77777777" w:rsidR="00DE3225" w:rsidRDefault="00DE3225" w:rsidP="00DE3225">
      <w:pPr>
        <w:pStyle w:val="ListParagraph"/>
        <w:spacing w:after="0" w:line="276" w:lineRule="auto"/>
        <w:ind w:left="1440"/>
      </w:pPr>
    </w:p>
    <w:p w14:paraId="21372BC9" w14:textId="16A2D0B5" w:rsidR="00D549CF" w:rsidRDefault="00D549CF" w:rsidP="00D549CF">
      <w:pPr>
        <w:pStyle w:val="Heading2"/>
      </w:pPr>
      <w:r>
        <w:t xml:space="preserve">XI. </w:t>
      </w:r>
      <w:r w:rsidR="008A6A9F" w:rsidRPr="008A6A9F">
        <w:t>GRADUATE PROGRAM DIRECTOR COMPENSATION</w:t>
      </w:r>
    </w:p>
    <w:p w14:paraId="5EB32FB5" w14:textId="35B86007" w:rsidR="00C83424" w:rsidRDefault="00C83424" w:rsidP="008A6A9F">
      <w:pPr>
        <w:pStyle w:val="ListParagraph"/>
        <w:numPr>
          <w:ilvl w:val="0"/>
          <w:numId w:val="31"/>
        </w:numPr>
        <w:spacing w:after="0" w:line="276" w:lineRule="auto"/>
      </w:pPr>
      <w:r>
        <w:t>Graduate Program Directors are appointed for renewable terms of up to three years each in accordance with LSUS Policy Statement 2.28.01: Graduate Program Directors.</w:t>
      </w:r>
    </w:p>
    <w:p w14:paraId="1B3A1B5B" w14:textId="17572057" w:rsidR="00C83424" w:rsidRDefault="00C83424" w:rsidP="008A6A9F">
      <w:pPr>
        <w:pStyle w:val="ListParagraph"/>
        <w:numPr>
          <w:ilvl w:val="0"/>
          <w:numId w:val="31"/>
        </w:numPr>
        <w:spacing w:after="0" w:line="276" w:lineRule="auto"/>
      </w:pPr>
      <w:r>
        <w:t>Graduate Program Directors may report to the Chair of the Department in which the program is housed but, if approved by the Vice Chancellor for Academic Affairs, may report to the College Dean.</w:t>
      </w:r>
    </w:p>
    <w:p w14:paraId="1F383B6A" w14:textId="023AC968" w:rsidR="00C83424" w:rsidRDefault="00C83424" w:rsidP="008A6A9F">
      <w:pPr>
        <w:pStyle w:val="ListParagraph"/>
        <w:numPr>
          <w:ilvl w:val="0"/>
          <w:numId w:val="31"/>
        </w:numPr>
        <w:spacing w:after="0" w:line="276" w:lineRule="auto"/>
      </w:pPr>
      <w:r>
        <w:t>Graduate Program Directors are compensated through a combination of course download and annual stipend.  Compensation is based on program size and complexity.  Factors to be considered include external reporting requirements and current resources available to the program.</w:t>
      </w:r>
    </w:p>
    <w:p w14:paraId="4B4C24AE" w14:textId="599233FC" w:rsidR="00C83424" w:rsidRDefault="00C83424" w:rsidP="008A6A9F">
      <w:pPr>
        <w:pStyle w:val="ListParagraph"/>
        <w:numPr>
          <w:ilvl w:val="0"/>
          <w:numId w:val="31"/>
        </w:numPr>
        <w:spacing w:after="0" w:line="276" w:lineRule="auto"/>
      </w:pPr>
      <w:r>
        <w:lastRenderedPageBreak/>
        <w:t>Guidance on Graduate Program Director compensation is outlined in Appendix F.</w:t>
      </w:r>
    </w:p>
    <w:p w14:paraId="73F2BACF" w14:textId="2EB481E2" w:rsidR="00032971" w:rsidRDefault="00032971" w:rsidP="00032971">
      <w:pPr>
        <w:pStyle w:val="Heading2"/>
      </w:pPr>
      <w:r>
        <w:t xml:space="preserve">XII. </w:t>
      </w:r>
      <w:r w:rsidR="0081434E" w:rsidRPr="0081434E">
        <w:t>COMPENSATION FOR FACULTY DIRECTING GRADUATE THESES AND DISSERTATIONS</w:t>
      </w:r>
    </w:p>
    <w:p w14:paraId="115ABA4C" w14:textId="2A50508F" w:rsidR="00C83424" w:rsidRDefault="00C83424" w:rsidP="00C173A0">
      <w:pPr>
        <w:pStyle w:val="ListParagraph"/>
        <w:numPr>
          <w:ilvl w:val="0"/>
          <w:numId w:val="32"/>
        </w:numPr>
        <w:spacing w:after="0" w:line="276" w:lineRule="auto"/>
      </w:pPr>
      <w:r>
        <w:t>The download/stipend given to Program Directors to allow them to fulfill their administrative responsibilities includes oversight of all dissertation/thesis work with students.  However, other faculty members who supervise dissertations or theses should earn additional compensation if they are a signatory to a completed dissertation or thesis.</w:t>
      </w:r>
    </w:p>
    <w:p w14:paraId="60A9A197" w14:textId="77777777" w:rsidR="00C83424" w:rsidRDefault="00C83424" w:rsidP="00C173A0">
      <w:pPr>
        <w:pStyle w:val="ListParagraph"/>
        <w:numPr>
          <w:ilvl w:val="0"/>
          <w:numId w:val="32"/>
        </w:numPr>
        <w:spacing w:after="0" w:line="276" w:lineRule="auto"/>
      </w:pPr>
      <w:r>
        <w:t>Compensation should reflect the greater responsibilities of dissertation vs. thesis and director vs. committee member, following the chart below:</w:t>
      </w:r>
    </w:p>
    <w:p w14:paraId="66A90F98" w14:textId="77777777" w:rsidR="00C83424" w:rsidRDefault="00C83424" w:rsidP="00C83424">
      <w:pPr>
        <w:spacing w:after="0"/>
      </w:pPr>
    </w:p>
    <w:tbl>
      <w:tblPr>
        <w:tblStyle w:val="TableGrid"/>
        <w:tblW w:w="0" w:type="auto"/>
        <w:jc w:val="center"/>
        <w:tblLook w:val="04A0" w:firstRow="1" w:lastRow="0" w:firstColumn="1" w:lastColumn="0" w:noHBand="0" w:noVBand="1"/>
      </w:tblPr>
      <w:tblGrid>
        <w:gridCol w:w="4315"/>
        <w:gridCol w:w="4315"/>
      </w:tblGrid>
      <w:tr w:rsidR="00C83424" w14:paraId="74CB12C2" w14:textId="77777777" w:rsidTr="00C173A0">
        <w:trPr>
          <w:jc w:val="center"/>
        </w:trPr>
        <w:tc>
          <w:tcPr>
            <w:tcW w:w="4315" w:type="dxa"/>
            <w:tcBorders>
              <w:top w:val="single" w:sz="4" w:space="0" w:color="auto"/>
              <w:left w:val="single" w:sz="4" w:space="0" w:color="auto"/>
              <w:bottom w:val="single" w:sz="4" w:space="0" w:color="auto"/>
              <w:right w:val="single" w:sz="4" w:space="0" w:color="auto"/>
            </w:tcBorders>
            <w:hideMark/>
          </w:tcPr>
          <w:p w14:paraId="7EC83014" w14:textId="77777777" w:rsidR="00C83424" w:rsidRDefault="00C83424" w:rsidP="00C173A0">
            <w:pPr>
              <w:rPr>
                <w:b/>
              </w:rPr>
            </w:pPr>
            <w:r>
              <w:rPr>
                <w:b/>
              </w:rPr>
              <w:t>Signatory</w:t>
            </w:r>
          </w:p>
        </w:tc>
        <w:tc>
          <w:tcPr>
            <w:tcW w:w="4315" w:type="dxa"/>
            <w:tcBorders>
              <w:top w:val="single" w:sz="4" w:space="0" w:color="auto"/>
              <w:left w:val="single" w:sz="4" w:space="0" w:color="auto"/>
              <w:bottom w:val="single" w:sz="4" w:space="0" w:color="auto"/>
              <w:right w:val="single" w:sz="4" w:space="0" w:color="auto"/>
            </w:tcBorders>
            <w:hideMark/>
          </w:tcPr>
          <w:p w14:paraId="60E964C0" w14:textId="77777777" w:rsidR="00C83424" w:rsidRDefault="00C83424">
            <w:pPr>
              <w:rPr>
                <w:b/>
              </w:rPr>
            </w:pPr>
            <w:r>
              <w:rPr>
                <w:b/>
              </w:rPr>
              <w:t>Paid to Signatory after Final Defense</w:t>
            </w:r>
          </w:p>
        </w:tc>
      </w:tr>
      <w:tr w:rsidR="00C83424" w14:paraId="61EF09A4" w14:textId="77777777" w:rsidTr="00C173A0">
        <w:trPr>
          <w:jc w:val="center"/>
        </w:trPr>
        <w:tc>
          <w:tcPr>
            <w:tcW w:w="4315" w:type="dxa"/>
            <w:tcBorders>
              <w:top w:val="single" w:sz="4" w:space="0" w:color="auto"/>
              <w:left w:val="single" w:sz="4" w:space="0" w:color="auto"/>
              <w:bottom w:val="single" w:sz="4" w:space="0" w:color="auto"/>
              <w:right w:val="single" w:sz="4" w:space="0" w:color="auto"/>
            </w:tcBorders>
            <w:hideMark/>
          </w:tcPr>
          <w:p w14:paraId="2D9B83BB" w14:textId="77777777" w:rsidR="00C83424" w:rsidRDefault="00C83424">
            <w:r>
              <w:t>Dissertation Chair</w:t>
            </w:r>
          </w:p>
        </w:tc>
        <w:tc>
          <w:tcPr>
            <w:tcW w:w="4315" w:type="dxa"/>
            <w:tcBorders>
              <w:top w:val="single" w:sz="4" w:space="0" w:color="auto"/>
              <w:left w:val="single" w:sz="4" w:space="0" w:color="auto"/>
              <w:bottom w:val="single" w:sz="4" w:space="0" w:color="auto"/>
              <w:right w:val="single" w:sz="4" w:space="0" w:color="auto"/>
            </w:tcBorders>
            <w:hideMark/>
          </w:tcPr>
          <w:p w14:paraId="42195C19" w14:textId="77777777" w:rsidR="00C83424" w:rsidRDefault="00C83424">
            <w:r>
              <w:t>$250</w:t>
            </w:r>
          </w:p>
        </w:tc>
      </w:tr>
      <w:tr w:rsidR="00C83424" w14:paraId="69FC70FB" w14:textId="77777777" w:rsidTr="00C173A0">
        <w:trPr>
          <w:jc w:val="center"/>
        </w:trPr>
        <w:tc>
          <w:tcPr>
            <w:tcW w:w="4315" w:type="dxa"/>
            <w:tcBorders>
              <w:top w:val="single" w:sz="4" w:space="0" w:color="auto"/>
              <w:left w:val="single" w:sz="4" w:space="0" w:color="auto"/>
              <w:bottom w:val="single" w:sz="4" w:space="0" w:color="auto"/>
              <w:right w:val="single" w:sz="4" w:space="0" w:color="auto"/>
            </w:tcBorders>
            <w:hideMark/>
          </w:tcPr>
          <w:p w14:paraId="2A51BB43" w14:textId="77777777" w:rsidR="00C83424" w:rsidRDefault="00C83424">
            <w:r>
              <w:t>Dissertation Committee Member</w:t>
            </w:r>
          </w:p>
        </w:tc>
        <w:tc>
          <w:tcPr>
            <w:tcW w:w="4315" w:type="dxa"/>
            <w:tcBorders>
              <w:top w:val="single" w:sz="4" w:space="0" w:color="auto"/>
              <w:left w:val="single" w:sz="4" w:space="0" w:color="auto"/>
              <w:bottom w:val="single" w:sz="4" w:space="0" w:color="auto"/>
              <w:right w:val="single" w:sz="4" w:space="0" w:color="auto"/>
            </w:tcBorders>
            <w:hideMark/>
          </w:tcPr>
          <w:p w14:paraId="1C89B549" w14:textId="77777777" w:rsidR="00C83424" w:rsidRDefault="00C83424">
            <w:r>
              <w:t>$200</w:t>
            </w:r>
          </w:p>
        </w:tc>
      </w:tr>
      <w:tr w:rsidR="00C83424" w14:paraId="58E18D06" w14:textId="77777777" w:rsidTr="00C173A0">
        <w:trPr>
          <w:jc w:val="center"/>
        </w:trPr>
        <w:tc>
          <w:tcPr>
            <w:tcW w:w="4315" w:type="dxa"/>
            <w:tcBorders>
              <w:top w:val="single" w:sz="4" w:space="0" w:color="auto"/>
              <w:left w:val="single" w:sz="4" w:space="0" w:color="auto"/>
              <w:bottom w:val="single" w:sz="4" w:space="0" w:color="auto"/>
              <w:right w:val="single" w:sz="4" w:space="0" w:color="auto"/>
            </w:tcBorders>
            <w:hideMark/>
          </w:tcPr>
          <w:p w14:paraId="1487479F" w14:textId="77777777" w:rsidR="00C83424" w:rsidRDefault="00C83424">
            <w:r>
              <w:t>Thesis Chair</w:t>
            </w:r>
          </w:p>
        </w:tc>
        <w:tc>
          <w:tcPr>
            <w:tcW w:w="4315" w:type="dxa"/>
            <w:tcBorders>
              <w:top w:val="single" w:sz="4" w:space="0" w:color="auto"/>
              <w:left w:val="single" w:sz="4" w:space="0" w:color="auto"/>
              <w:bottom w:val="single" w:sz="4" w:space="0" w:color="auto"/>
              <w:right w:val="single" w:sz="4" w:space="0" w:color="auto"/>
            </w:tcBorders>
            <w:hideMark/>
          </w:tcPr>
          <w:p w14:paraId="24D34A99" w14:textId="77777777" w:rsidR="00C83424" w:rsidRDefault="00C83424">
            <w:r>
              <w:t>$200</w:t>
            </w:r>
          </w:p>
        </w:tc>
      </w:tr>
      <w:tr w:rsidR="00C83424" w14:paraId="30FB2DDD" w14:textId="77777777" w:rsidTr="00C173A0">
        <w:trPr>
          <w:jc w:val="center"/>
        </w:trPr>
        <w:tc>
          <w:tcPr>
            <w:tcW w:w="4315" w:type="dxa"/>
            <w:tcBorders>
              <w:top w:val="single" w:sz="4" w:space="0" w:color="auto"/>
              <w:left w:val="single" w:sz="4" w:space="0" w:color="auto"/>
              <w:bottom w:val="single" w:sz="4" w:space="0" w:color="auto"/>
              <w:right w:val="single" w:sz="4" w:space="0" w:color="auto"/>
            </w:tcBorders>
            <w:hideMark/>
          </w:tcPr>
          <w:p w14:paraId="5FEBF6EB" w14:textId="77777777" w:rsidR="00C83424" w:rsidRDefault="00C83424">
            <w:r>
              <w:t>Thesis Committee Member</w:t>
            </w:r>
          </w:p>
        </w:tc>
        <w:tc>
          <w:tcPr>
            <w:tcW w:w="4315" w:type="dxa"/>
            <w:tcBorders>
              <w:top w:val="single" w:sz="4" w:space="0" w:color="auto"/>
              <w:left w:val="single" w:sz="4" w:space="0" w:color="auto"/>
              <w:bottom w:val="single" w:sz="4" w:space="0" w:color="auto"/>
              <w:right w:val="single" w:sz="4" w:space="0" w:color="auto"/>
            </w:tcBorders>
            <w:hideMark/>
          </w:tcPr>
          <w:p w14:paraId="7A6C8A1B" w14:textId="77777777" w:rsidR="00C83424" w:rsidRDefault="00C83424">
            <w:r>
              <w:t>$150</w:t>
            </w:r>
          </w:p>
        </w:tc>
      </w:tr>
    </w:tbl>
    <w:p w14:paraId="2F1B3B19" w14:textId="77777777" w:rsidR="00C83424" w:rsidRDefault="00C83424" w:rsidP="00C83424">
      <w:pPr>
        <w:spacing w:after="0"/>
        <w:rPr>
          <w:rFonts w:ascii="Calibri" w:hAnsi="Calibri"/>
        </w:rPr>
      </w:pPr>
      <w:r>
        <w:tab/>
      </w:r>
    </w:p>
    <w:p w14:paraId="42B6F052" w14:textId="77777777" w:rsidR="00C83424" w:rsidRDefault="00C83424" w:rsidP="00C83424">
      <w:pPr>
        <w:spacing w:after="0"/>
        <w:ind w:left="720"/>
      </w:pPr>
      <w:r>
        <w:t>Program Directors who are members of more than ten thesis or dissertation committees in a single semester should petition the Vice Chancellor for Academic Affairs through their Dean to be considered for additional compensation for this work.</w:t>
      </w:r>
    </w:p>
    <w:p w14:paraId="7F2E4324" w14:textId="77777777" w:rsidR="00C83424" w:rsidRDefault="00C83424" w:rsidP="00C83424">
      <w:pPr>
        <w:spacing w:after="0"/>
        <w:rPr>
          <w:b/>
        </w:rPr>
      </w:pPr>
    </w:p>
    <w:p w14:paraId="3816BF73" w14:textId="2E5A4565" w:rsidR="0081434E" w:rsidRDefault="0081434E" w:rsidP="0081434E">
      <w:pPr>
        <w:pStyle w:val="Heading2"/>
      </w:pPr>
      <w:bookmarkStart w:id="0" w:name="_Hlk102396063"/>
      <w:r>
        <w:t xml:space="preserve">XIII. </w:t>
      </w:r>
      <w:r w:rsidR="00B16CE7" w:rsidRPr="00B16CE7">
        <w:t>COMPENSATION FOR FACULTY RECEIVING PROMOTION</w:t>
      </w:r>
    </w:p>
    <w:tbl>
      <w:tblPr>
        <w:tblStyle w:val="TableGrid"/>
        <w:tblW w:w="0" w:type="auto"/>
        <w:jc w:val="center"/>
        <w:tblLook w:val="04A0" w:firstRow="1" w:lastRow="0" w:firstColumn="1" w:lastColumn="0" w:noHBand="0" w:noVBand="1"/>
      </w:tblPr>
      <w:tblGrid>
        <w:gridCol w:w="2157"/>
        <w:gridCol w:w="2157"/>
        <w:gridCol w:w="2158"/>
      </w:tblGrid>
      <w:tr w:rsidR="00C83424" w14:paraId="27CEBE0C" w14:textId="77777777" w:rsidTr="00C173A0">
        <w:trPr>
          <w:jc w:val="center"/>
        </w:trPr>
        <w:tc>
          <w:tcPr>
            <w:tcW w:w="2157" w:type="dxa"/>
            <w:tcBorders>
              <w:top w:val="single" w:sz="4" w:space="0" w:color="auto"/>
              <w:left w:val="single" w:sz="4" w:space="0" w:color="auto"/>
              <w:bottom w:val="single" w:sz="4" w:space="0" w:color="auto"/>
              <w:right w:val="single" w:sz="4" w:space="0" w:color="auto"/>
            </w:tcBorders>
            <w:vAlign w:val="center"/>
            <w:hideMark/>
          </w:tcPr>
          <w:p w14:paraId="2A8E137D" w14:textId="77777777" w:rsidR="00C83424" w:rsidRDefault="00C83424">
            <w:pPr>
              <w:rPr>
                <w:b/>
              </w:rPr>
            </w:pPr>
            <w:r>
              <w:rPr>
                <w:b/>
              </w:rPr>
              <w:t>FROM</w:t>
            </w:r>
          </w:p>
        </w:tc>
        <w:tc>
          <w:tcPr>
            <w:tcW w:w="2157" w:type="dxa"/>
            <w:tcBorders>
              <w:top w:val="single" w:sz="4" w:space="0" w:color="auto"/>
              <w:left w:val="single" w:sz="4" w:space="0" w:color="auto"/>
              <w:bottom w:val="single" w:sz="4" w:space="0" w:color="auto"/>
              <w:right w:val="single" w:sz="4" w:space="0" w:color="auto"/>
            </w:tcBorders>
            <w:vAlign w:val="center"/>
            <w:hideMark/>
          </w:tcPr>
          <w:p w14:paraId="278E78E1" w14:textId="77777777" w:rsidR="00C83424" w:rsidRDefault="00C83424">
            <w:pPr>
              <w:rPr>
                <w:b/>
              </w:rPr>
            </w:pPr>
            <w:r>
              <w:rPr>
                <w:b/>
              </w:rPr>
              <w:t>TO</w:t>
            </w:r>
          </w:p>
        </w:tc>
        <w:tc>
          <w:tcPr>
            <w:tcW w:w="2158" w:type="dxa"/>
            <w:tcBorders>
              <w:top w:val="single" w:sz="4" w:space="0" w:color="auto"/>
              <w:left w:val="single" w:sz="4" w:space="0" w:color="auto"/>
              <w:bottom w:val="single" w:sz="4" w:space="0" w:color="auto"/>
              <w:right w:val="single" w:sz="4" w:space="0" w:color="auto"/>
            </w:tcBorders>
            <w:vAlign w:val="center"/>
            <w:hideMark/>
          </w:tcPr>
          <w:p w14:paraId="1FC01ABE" w14:textId="77777777" w:rsidR="00C83424" w:rsidRDefault="00C83424">
            <w:pPr>
              <w:rPr>
                <w:b/>
                <w:sz w:val="22"/>
              </w:rPr>
            </w:pPr>
            <w:r>
              <w:rPr>
                <w:b/>
              </w:rPr>
              <w:t>EFFECTIVE MAY 2022</w:t>
            </w:r>
          </w:p>
        </w:tc>
      </w:tr>
      <w:tr w:rsidR="00C83424" w14:paraId="384B638C" w14:textId="77777777" w:rsidTr="00C173A0">
        <w:trPr>
          <w:jc w:val="center"/>
        </w:trPr>
        <w:tc>
          <w:tcPr>
            <w:tcW w:w="2157" w:type="dxa"/>
            <w:tcBorders>
              <w:top w:val="single" w:sz="4" w:space="0" w:color="auto"/>
              <w:left w:val="single" w:sz="4" w:space="0" w:color="auto"/>
              <w:bottom w:val="single" w:sz="4" w:space="0" w:color="auto"/>
              <w:right w:val="single" w:sz="4" w:space="0" w:color="auto"/>
            </w:tcBorders>
            <w:vAlign w:val="center"/>
            <w:hideMark/>
          </w:tcPr>
          <w:p w14:paraId="415D8FBA" w14:textId="77777777" w:rsidR="00C83424" w:rsidRDefault="00C83424">
            <w:r>
              <w:t>Associate Professor</w:t>
            </w:r>
          </w:p>
        </w:tc>
        <w:tc>
          <w:tcPr>
            <w:tcW w:w="2157" w:type="dxa"/>
            <w:tcBorders>
              <w:top w:val="single" w:sz="4" w:space="0" w:color="auto"/>
              <w:left w:val="single" w:sz="4" w:space="0" w:color="auto"/>
              <w:bottom w:val="single" w:sz="4" w:space="0" w:color="auto"/>
              <w:right w:val="single" w:sz="4" w:space="0" w:color="auto"/>
            </w:tcBorders>
            <w:vAlign w:val="center"/>
            <w:hideMark/>
          </w:tcPr>
          <w:p w14:paraId="3D5FA358" w14:textId="77777777" w:rsidR="00C83424" w:rsidRDefault="00C83424">
            <w:r>
              <w:t>Full Professor</w:t>
            </w:r>
          </w:p>
        </w:tc>
        <w:tc>
          <w:tcPr>
            <w:tcW w:w="2158" w:type="dxa"/>
            <w:tcBorders>
              <w:top w:val="single" w:sz="4" w:space="0" w:color="auto"/>
              <w:left w:val="single" w:sz="4" w:space="0" w:color="auto"/>
              <w:bottom w:val="single" w:sz="4" w:space="0" w:color="auto"/>
              <w:right w:val="single" w:sz="4" w:space="0" w:color="auto"/>
            </w:tcBorders>
            <w:vAlign w:val="center"/>
            <w:hideMark/>
          </w:tcPr>
          <w:p w14:paraId="190A3978" w14:textId="77777777" w:rsidR="00C83424" w:rsidRDefault="00C83424">
            <w:r>
              <w:t>$6,000</w:t>
            </w:r>
          </w:p>
        </w:tc>
      </w:tr>
      <w:tr w:rsidR="00C83424" w14:paraId="77FE5BCF" w14:textId="77777777" w:rsidTr="00C173A0">
        <w:trPr>
          <w:jc w:val="center"/>
        </w:trPr>
        <w:tc>
          <w:tcPr>
            <w:tcW w:w="2157" w:type="dxa"/>
            <w:tcBorders>
              <w:top w:val="single" w:sz="4" w:space="0" w:color="auto"/>
              <w:left w:val="single" w:sz="4" w:space="0" w:color="auto"/>
              <w:bottom w:val="single" w:sz="4" w:space="0" w:color="auto"/>
              <w:right w:val="single" w:sz="4" w:space="0" w:color="auto"/>
            </w:tcBorders>
            <w:vAlign w:val="center"/>
            <w:hideMark/>
          </w:tcPr>
          <w:p w14:paraId="3F36B91E" w14:textId="77777777" w:rsidR="00C83424" w:rsidRDefault="00C83424">
            <w:r>
              <w:t>Assistant Professor</w:t>
            </w:r>
          </w:p>
        </w:tc>
        <w:tc>
          <w:tcPr>
            <w:tcW w:w="2157" w:type="dxa"/>
            <w:tcBorders>
              <w:top w:val="single" w:sz="4" w:space="0" w:color="auto"/>
              <w:left w:val="single" w:sz="4" w:space="0" w:color="auto"/>
              <w:bottom w:val="single" w:sz="4" w:space="0" w:color="auto"/>
              <w:right w:val="single" w:sz="4" w:space="0" w:color="auto"/>
            </w:tcBorders>
            <w:vAlign w:val="center"/>
            <w:hideMark/>
          </w:tcPr>
          <w:p w14:paraId="316883C6" w14:textId="77777777" w:rsidR="00C83424" w:rsidRDefault="00C83424">
            <w:r>
              <w:t>Associate Professor</w:t>
            </w:r>
          </w:p>
        </w:tc>
        <w:tc>
          <w:tcPr>
            <w:tcW w:w="2158" w:type="dxa"/>
            <w:tcBorders>
              <w:top w:val="single" w:sz="4" w:space="0" w:color="auto"/>
              <w:left w:val="single" w:sz="4" w:space="0" w:color="auto"/>
              <w:bottom w:val="single" w:sz="4" w:space="0" w:color="auto"/>
              <w:right w:val="single" w:sz="4" w:space="0" w:color="auto"/>
            </w:tcBorders>
            <w:vAlign w:val="center"/>
            <w:hideMark/>
          </w:tcPr>
          <w:p w14:paraId="11940E89" w14:textId="77777777" w:rsidR="00C83424" w:rsidRDefault="00C83424">
            <w:r>
              <w:t>$4,000</w:t>
            </w:r>
          </w:p>
        </w:tc>
      </w:tr>
      <w:tr w:rsidR="00C83424" w14:paraId="2DE4E4EC" w14:textId="77777777" w:rsidTr="00C173A0">
        <w:trPr>
          <w:jc w:val="center"/>
        </w:trPr>
        <w:tc>
          <w:tcPr>
            <w:tcW w:w="2157" w:type="dxa"/>
            <w:tcBorders>
              <w:top w:val="single" w:sz="4" w:space="0" w:color="auto"/>
              <w:left w:val="single" w:sz="4" w:space="0" w:color="auto"/>
              <w:bottom w:val="single" w:sz="4" w:space="0" w:color="auto"/>
              <w:right w:val="single" w:sz="4" w:space="0" w:color="auto"/>
            </w:tcBorders>
            <w:vAlign w:val="center"/>
            <w:hideMark/>
          </w:tcPr>
          <w:p w14:paraId="7414FD52" w14:textId="77777777" w:rsidR="00C83424" w:rsidRDefault="00C83424">
            <w:r>
              <w:t>Instructor</w:t>
            </w:r>
          </w:p>
        </w:tc>
        <w:tc>
          <w:tcPr>
            <w:tcW w:w="2157" w:type="dxa"/>
            <w:tcBorders>
              <w:top w:val="single" w:sz="4" w:space="0" w:color="auto"/>
              <w:left w:val="single" w:sz="4" w:space="0" w:color="auto"/>
              <w:bottom w:val="single" w:sz="4" w:space="0" w:color="auto"/>
              <w:right w:val="single" w:sz="4" w:space="0" w:color="auto"/>
            </w:tcBorders>
            <w:vAlign w:val="center"/>
            <w:hideMark/>
          </w:tcPr>
          <w:p w14:paraId="64472CFF" w14:textId="77777777" w:rsidR="00C83424" w:rsidRDefault="00C83424">
            <w:r>
              <w:t>Assistant Professor</w:t>
            </w:r>
          </w:p>
        </w:tc>
        <w:tc>
          <w:tcPr>
            <w:tcW w:w="2158" w:type="dxa"/>
            <w:tcBorders>
              <w:top w:val="single" w:sz="4" w:space="0" w:color="auto"/>
              <w:left w:val="single" w:sz="4" w:space="0" w:color="auto"/>
              <w:bottom w:val="single" w:sz="4" w:space="0" w:color="auto"/>
              <w:right w:val="single" w:sz="4" w:space="0" w:color="auto"/>
            </w:tcBorders>
            <w:vAlign w:val="center"/>
            <w:hideMark/>
          </w:tcPr>
          <w:p w14:paraId="1996165E" w14:textId="77777777" w:rsidR="00C83424" w:rsidRDefault="00C83424">
            <w:r>
              <w:t>$3,000</w:t>
            </w:r>
          </w:p>
        </w:tc>
      </w:tr>
    </w:tbl>
    <w:p w14:paraId="412F043B" w14:textId="77777777" w:rsidR="00C83424" w:rsidRDefault="00C83424" w:rsidP="00C83424">
      <w:pPr>
        <w:spacing w:after="0"/>
        <w:rPr>
          <w:rFonts w:ascii="Calibri" w:hAnsi="Calibri"/>
        </w:rPr>
      </w:pPr>
    </w:p>
    <w:p w14:paraId="43C224C0" w14:textId="77777777" w:rsidR="00C83424" w:rsidRDefault="00C83424" w:rsidP="00A513CB">
      <w:pPr>
        <w:spacing w:after="0"/>
        <w:ind w:left="720"/>
      </w:pPr>
      <w:r>
        <w:lastRenderedPageBreak/>
        <w:t>This chart reflects a salary increase for promotion only and takes effect at the beginning of the academic year following promotion approval.  There is no salary increase for the award of tenure.</w:t>
      </w:r>
    </w:p>
    <w:bookmarkEnd w:id="0"/>
    <w:p w14:paraId="0A08A103" w14:textId="77777777" w:rsidR="00C83424" w:rsidRDefault="00C83424" w:rsidP="00C83424">
      <w:pPr>
        <w:spacing w:after="0"/>
      </w:pPr>
    </w:p>
    <w:p w14:paraId="3CDD971F" w14:textId="6D631E62" w:rsidR="00C36D1F" w:rsidRDefault="00C36D1F" w:rsidP="00C36D1F">
      <w:pPr>
        <w:pStyle w:val="Heading2"/>
      </w:pPr>
      <w:r>
        <w:t xml:space="preserve">XIV. </w:t>
      </w:r>
      <w:r w:rsidR="00382C81">
        <w:t>EXCEPTIONS</w:t>
      </w:r>
    </w:p>
    <w:p w14:paraId="3FB2748C" w14:textId="229CD8E9" w:rsidR="00C83424" w:rsidRDefault="00C83424" w:rsidP="00042882">
      <w:pPr>
        <w:pStyle w:val="ListParagraph"/>
        <w:numPr>
          <w:ilvl w:val="0"/>
          <w:numId w:val="33"/>
        </w:numPr>
        <w:spacing w:after="0" w:line="276" w:lineRule="auto"/>
      </w:pPr>
      <w:r>
        <w:t xml:space="preserve">To maintain the objectives, integrity, and fairness of this policy statement, it is important that it be closely followed by Department Chairs, Deans, and the Vice Chancellor for Academic Affairs.  However, it is possible that an exception may be deemed necessary because of the </w:t>
      </w:r>
      <w:r w:rsidR="000F1AD1">
        <w:t>circumstances</w:t>
      </w:r>
      <w:r>
        <w:t xml:space="preserve"> of </w:t>
      </w:r>
      <w:r w:rsidR="000F1AD1">
        <w:t>the situation</w:t>
      </w:r>
      <w:r>
        <w:t>.  The Vice Chancellor for Academic Affairs has authority to make this determination, subject to approval by the Chancellor.</w:t>
      </w:r>
    </w:p>
    <w:p w14:paraId="3C2E0344" w14:textId="5F12A715" w:rsidR="00C83424" w:rsidRDefault="00C83424" w:rsidP="00042882">
      <w:pPr>
        <w:pStyle w:val="ListParagraph"/>
        <w:numPr>
          <w:ilvl w:val="0"/>
          <w:numId w:val="33"/>
        </w:numPr>
        <w:spacing w:after="0" w:line="276" w:lineRule="auto"/>
        <w:rPr>
          <w:b/>
        </w:rPr>
      </w:pPr>
      <w:proofErr w:type="gramStart"/>
      <w:r>
        <w:t>Particular circumstances</w:t>
      </w:r>
      <w:proofErr w:type="gramEnd"/>
      <w:r>
        <w:t xml:space="preserve"> of a situation may relate to the timing of the determination of need of instructor, availability of qualified instructors, and/or required critical expertise for a particular course.  Additional compensation, if authorized, should be considered an additional stipend for that semester or term and not as the basis for a continuing compensation rate, unless </w:t>
      </w:r>
      <w:r w:rsidR="000F1AD1">
        <w:t>subsequently</w:t>
      </w:r>
      <w:r>
        <w:t xml:space="preserve"> approved.</w:t>
      </w:r>
    </w:p>
    <w:p w14:paraId="4C400A77" w14:textId="77777777" w:rsidR="00C83424" w:rsidRDefault="00C83424" w:rsidP="00C83424">
      <w:pPr>
        <w:spacing w:after="0"/>
        <w:rPr>
          <w:b/>
        </w:rPr>
      </w:pPr>
    </w:p>
    <w:p w14:paraId="18737086" w14:textId="3B1A3D34" w:rsidR="0001067C" w:rsidRDefault="0001067C" w:rsidP="0001067C">
      <w:pPr>
        <w:pStyle w:val="Heading2"/>
      </w:pPr>
      <w:r>
        <w:t xml:space="preserve">XV. </w:t>
      </w:r>
      <w:r w:rsidR="00064EB6" w:rsidRPr="00064EB6">
        <w:t>MISCELLANEOUS</w:t>
      </w:r>
    </w:p>
    <w:p w14:paraId="1DF01BB0" w14:textId="77777777" w:rsidR="00C83424" w:rsidRDefault="00C83424" w:rsidP="00064EB6">
      <w:pPr>
        <w:pStyle w:val="ListParagraph"/>
        <w:numPr>
          <w:ilvl w:val="0"/>
          <w:numId w:val="34"/>
        </w:numPr>
        <w:spacing w:after="0" w:line="276" w:lineRule="auto"/>
      </w:pPr>
      <w:r>
        <w:t>To ensure faculty are paid in a timely manner, all approved faculty compensation actions should be received in the Office of Human Resource Management no later than seven working days prior to the pay period cutoff date.</w:t>
      </w:r>
    </w:p>
    <w:p w14:paraId="1F62FCDE" w14:textId="77777777" w:rsidR="00C83424" w:rsidRDefault="00C83424" w:rsidP="00064EB6">
      <w:pPr>
        <w:pStyle w:val="ListParagraph"/>
        <w:numPr>
          <w:ilvl w:val="0"/>
          <w:numId w:val="34"/>
        </w:numPr>
        <w:spacing w:after="0" w:line="276" w:lineRule="auto"/>
      </w:pPr>
      <w:r>
        <w:t>Any faculty compensation actions not covered by this policy should be coordinated in advance with the Office of Human Resource Management.</w:t>
      </w:r>
    </w:p>
    <w:p w14:paraId="338B8087" w14:textId="77777777" w:rsidR="00C83424" w:rsidRDefault="00C83424" w:rsidP="00C83424">
      <w:pPr>
        <w:spacing w:after="0"/>
        <w:rPr>
          <w:b/>
        </w:rPr>
      </w:pPr>
    </w:p>
    <w:p w14:paraId="1490F75E" w14:textId="77777777" w:rsidR="00CD33CC" w:rsidRDefault="00CD33CC" w:rsidP="00064EB6">
      <w:pPr>
        <w:spacing w:after="0" w:line="276" w:lineRule="auto"/>
      </w:pPr>
    </w:p>
    <w:p w14:paraId="23919A73" w14:textId="77777777" w:rsidR="00295658" w:rsidRDefault="00295658" w:rsidP="00295658">
      <w:pPr>
        <w:pStyle w:val="ByLine"/>
      </w:pPr>
      <w:r w:rsidRPr="008644C9">
        <w:t>AUTHORIZED AND APPROVED BY:</w:t>
      </w:r>
    </w:p>
    <w:p w14:paraId="05E4703E" w14:textId="77777777" w:rsidR="00064EB6" w:rsidRPr="008644C9" w:rsidRDefault="00064EB6" w:rsidP="00295658">
      <w:pPr>
        <w:pStyle w:val="ByLine"/>
      </w:pPr>
    </w:p>
    <w:p w14:paraId="3D4E146B" w14:textId="734B9F5B" w:rsidR="0028462C" w:rsidRDefault="00295658" w:rsidP="00295658">
      <w:pPr>
        <w:rPr>
          <w:b/>
          <w:bCs/>
        </w:rPr>
      </w:pPr>
      <w:r>
        <w:rPr>
          <w:b/>
          <w:bCs/>
        </w:rPr>
        <w:t>Dr. Robert T. Smith, Chancellor</w:t>
      </w:r>
      <w:r>
        <w:rPr>
          <w:b/>
          <w:bCs/>
        </w:rPr>
        <w:tab/>
      </w:r>
      <w:r>
        <w:rPr>
          <w:b/>
          <w:bCs/>
        </w:rPr>
        <w:tab/>
      </w:r>
      <w:r>
        <w:rPr>
          <w:b/>
          <w:bCs/>
        </w:rPr>
        <w:tab/>
      </w:r>
      <w:r>
        <w:rPr>
          <w:b/>
          <w:bCs/>
        </w:rPr>
        <w:tab/>
      </w:r>
      <w:r>
        <w:rPr>
          <w:b/>
          <w:bCs/>
        </w:rPr>
        <w:tab/>
      </w:r>
      <w:r w:rsidR="00064EB6">
        <w:rPr>
          <w:b/>
          <w:bCs/>
        </w:rPr>
        <w:t>Date:</w:t>
      </w:r>
      <w:r w:rsidR="00587413">
        <w:rPr>
          <w:b/>
          <w:bCs/>
        </w:rPr>
        <w:t xml:space="preserve"> 5/22/2026</w:t>
      </w:r>
    </w:p>
    <w:p w14:paraId="17BE6A28" w14:textId="62CA7588" w:rsidR="00C94A37" w:rsidRPr="00C94A37" w:rsidRDefault="00C94A37" w:rsidP="00C94A37">
      <w:pPr>
        <w:spacing w:after="0"/>
        <w:rPr>
          <w:b/>
          <w:bCs/>
          <w:color w:val="461D7C"/>
        </w:rPr>
      </w:pPr>
      <w:r w:rsidRPr="00C94A37">
        <w:rPr>
          <w:b/>
          <w:bCs/>
          <w:color w:val="461D7C"/>
        </w:rPr>
        <w:lastRenderedPageBreak/>
        <w:t>APPENDIX A to LSUS Policy Statement 2.33.0</w:t>
      </w:r>
      <w:r>
        <w:rPr>
          <w:b/>
          <w:bCs/>
          <w:color w:val="461D7C"/>
        </w:rPr>
        <w:t>5</w:t>
      </w:r>
    </w:p>
    <w:p w14:paraId="29431A26" w14:textId="7EFB31FB" w:rsidR="002522EF" w:rsidRDefault="00C94A37" w:rsidP="00C94A37">
      <w:pPr>
        <w:spacing w:after="0"/>
        <w:rPr>
          <w:b/>
          <w:bCs/>
          <w:color w:val="461D7C"/>
        </w:rPr>
      </w:pPr>
      <w:r w:rsidRPr="00C94A37">
        <w:rPr>
          <w:b/>
          <w:bCs/>
          <w:color w:val="461D7C"/>
        </w:rPr>
        <w:t>ADJUNCT AND OVERLOAD PAY</w:t>
      </w:r>
    </w:p>
    <w:p w14:paraId="6CEF9CA5" w14:textId="77777777" w:rsidR="00C94A37" w:rsidRPr="002522EF" w:rsidRDefault="00C94A37" w:rsidP="00C94A37">
      <w:pPr>
        <w:spacing w:after="0"/>
      </w:pPr>
    </w:p>
    <w:p w14:paraId="0E4EEDB0" w14:textId="725121B5" w:rsidR="002522EF" w:rsidRPr="002522EF" w:rsidRDefault="002522EF" w:rsidP="002522EF">
      <w:pPr>
        <w:ind w:left="720"/>
      </w:pPr>
      <w:r w:rsidRPr="002522EF">
        <w:t>1.</w:t>
      </w:r>
      <w:r>
        <w:t xml:space="preserve"> </w:t>
      </w:r>
      <w:r w:rsidRPr="002522EF">
        <w:t>Compensation for coursework taught in an overload status by regular faculty will be identical to compensation paid to adjunct faculty in the same department.</w:t>
      </w:r>
    </w:p>
    <w:p w14:paraId="0501302A" w14:textId="38052A34" w:rsidR="002522EF" w:rsidRPr="002522EF" w:rsidRDefault="002522EF" w:rsidP="002522EF">
      <w:pPr>
        <w:ind w:left="720"/>
      </w:pPr>
      <w:r w:rsidRPr="002522EF">
        <w:t>2.</w:t>
      </w:r>
      <w:r>
        <w:t xml:space="preserve"> </w:t>
      </w:r>
      <w:r w:rsidRPr="002522EF">
        <w:t xml:space="preserve">Adjunct and overload pay will be proposed by the Department Chair and </w:t>
      </w:r>
      <w:r>
        <w:t xml:space="preserve">    </w:t>
      </w:r>
      <w:r w:rsidRPr="002522EF">
        <w:t>approved by the Dean and Vice Chancellor for Academic Affairs.</w:t>
      </w:r>
    </w:p>
    <w:p w14:paraId="642C1C4F" w14:textId="3930E216" w:rsidR="006643D2" w:rsidRDefault="002522EF" w:rsidP="002522EF">
      <w:pPr>
        <w:ind w:left="720"/>
      </w:pPr>
      <w:r w:rsidRPr="002522EF">
        <w:t>3.The following chart will be used to determine compensation for adjunct faculty and regular faculty compensation for a three-credit hour course.  The amount is decreased or increased proportionally for courses with different credit hours (e.g. a one-credit hour course would be 1/3 the amount; a six-credit hour course would be two times the amount; etc.).  To determine the correct pay, locate the intersection of the row for the pay grade assigned to the program, the column for the course level, and the sub-column for the instructor’s qualifications (e.g. an adjunct with a Master’s degree teaching a three-credit hour course, housed in a pay grade 2 program, at the undergraduate level would receive $2000).  Documentation must accompany any requests for a higher amount than the lowest in the range (e.g. length of time the person has served as an adjunct, specialized qualifications, etc.). Low-enrolled classes may be taught with reduced compensation as determined in Appendix C1-2.</w:t>
      </w:r>
    </w:p>
    <w:p w14:paraId="1B52E41E" w14:textId="77777777" w:rsidR="00D51368" w:rsidRDefault="00D51368" w:rsidP="002522EF">
      <w:pPr>
        <w:ind w:left="720"/>
      </w:pPr>
    </w:p>
    <w:tbl>
      <w:tblPr>
        <w:tblStyle w:val="TableGrid"/>
        <w:tblW w:w="10440" w:type="dxa"/>
        <w:jc w:val="center"/>
        <w:tblLook w:val="04A0" w:firstRow="1" w:lastRow="0" w:firstColumn="1" w:lastColumn="0" w:noHBand="0" w:noVBand="1"/>
      </w:tblPr>
      <w:tblGrid>
        <w:gridCol w:w="2190"/>
        <w:gridCol w:w="1648"/>
        <w:gridCol w:w="1654"/>
        <w:gridCol w:w="1648"/>
        <w:gridCol w:w="1654"/>
        <w:gridCol w:w="1646"/>
      </w:tblGrid>
      <w:tr w:rsidR="00D51368" w14:paraId="0911BA54" w14:textId="77777777" w:rsidTr="000614E1">
        <w:trPr>
          <w:jc w:val="center"/>
        </w:trPr>
        <w:tc>
          <w:tcPr>
            <w:tcW w:w="2190" w:type="dxa"/>
            <w:vAlign w:val="center"/>
          </w:tcPr>
          <w:p w14:paraId="5197A02A" w14:textId="77777777" w:rsidR="00D51368" w:rsidRDefault="00D51368" w:rsidP="00B65FE4">
            <w:pPr>
              <w:pStyle w:val="Footer"/>
            </w:pPr>
          </w:p>
        </w:tc>
        <w:tc>
          <w:tcPr>
            <w:tcW w:w="3302" w:type="dxa"/>
            <w:gridSpan w:val="2"/>
            <w:vAlign w:val="center"/>
          </w:tcPr>
          <w:p w14:paraId="40E84CF7" w14:textId="77777777" w:rsidR="00D51368" w:rsidRDefault="00D51368" w:rsidP="00B65FE4">
            <w:pPr>
              <w:pStyle w:val="Footer"/>
              <w:jc w:val="center"/>
              <w:rPr>
                <w:b/>
              </w:rPr>
            </w:pPr>
            <w:r>
              <w:rPr>
                <w:b/>
              </w:rPr>
              <w:t>Undergraduate</w:t>
            </w:r>
          </w:p>
          <w:p w14:paraId="2ADD742D" w14:textId="77777777" w:rsidR="00D51368" w:rsidRPr="005C40DC" w:rsidRDefault="00D51368" w:rsidP="00B65FE4">
            <w:pPr>
              <w:pStyle w:val="Footer"/>
              <w:jc w:val="center"/>
              <w:rPr>
                <w:b/>
              </w:rPr>
            </w:pPr>
            <w:r>
              <w:rPr>
                <w:b/>
              </w:rPr>
              <w:t>Course</w:t>
            </w:r>
          </w:p>
        </w:tc>
        <w:tc>
          <w:tcPr>
            <w:tcW w:w="3302" w:type="dxa"/>
            <w:gridSpan w:val="2"/>
            <w:vAlign w:val="center"/>
          </w:tcPr>
          <w:p w14:paraId="0CBEB107" w14:textId="77777777" w:rsidR="00D51368" w:rsidRDefault="00D51368" w:rsidP="00B65FE4">
            <w:pPr>
              <w:pStyle w:val="Footer"/>
              <w:jc w:val="center"/>
              <w:rPr>
                <w:b/>
              </w:rPr>
            </w:pPr>
            <w:r>
              <w:rPr>
                <w:b/>
              </w:rPr>
              <w:t>Graduate</w:t>
            </w:r>
          </w:p>
          <w:p w14:paraId="0A9A0262" w14:textId="77777777" w:rsidR="00D51368" w:rsidRPr="005C40DC" w:rsidRDefault="00D51368" w:rsidP="00B65FE4">
            <w:pPr>
              <w:pStyle w:val="Footer"/>
              <w:jc w:val="center"/>
              <w:rPr>
                <w:b/>
              </w:rPr>
            </w:pPr>
            <w:r>
              <w:rPr>
                <w:b/>
              </w:rPr>
              <w:t>Course</w:t>
            </w:r>
          </w:p>
        </w:tc>
        <w:tc>
          <w:tcPr>
            <w:tcW w:w="1646" w:type="dxa"/>
            <w:vAlign w:val="center"/>
          </w:tcPr>
          <w:p w14:paraId="515A1CDA" w14:textId="77777777" w:rsidR="00D51368" w:rsidRPr="00C868FB" w:rsidRDefault="00D51368" w:rsidP="00B65FE4">
            <w:pPr>
              <w:pStyle w:val="Footer"/>
              <w:jc w:val="center"/>
              <w:rPr>
                <w:b/>
              </w:rPr>
            </w:pPr>
            <w:r>
              <w:rPr>
                <w:b/>
              </w:rPr>
              <w:t>Doctoral Course</w:t>
            </w:r>
          </w:p>
        </w:tc>
      </w:tr>
      <w:tr w:rsidR="00D51368" w14:paraId="4CBF92E9" w14:textId="77777777" w:rsidTr="000614E1">
        <w:trPr>
          <w:jc w:val="center"/>
        </w:trPr>
        <w:tc>
          <w:tcPr>
            <w:tcW w:w="2190" w:type="dxa"/>
            <w:vAlign w:val="center"/>
          </w:tcPr>
          <w:p w14:paraId="0825E7E9" w14:textId="77777777" w:rsidR="00D51368" w:rsidRPr="00B06BB9" w:rsidRDefault="00D51368" w:rsidP="00B65FE4">
            <w:pPr>
              <w:pStyle w:val="Footer"/>
              <w:jc w:val="center"/>
              <w:rPr>
                <w:b/>
              </w:rPr>
            </w:pPr>
            <w:r>
              <w:rPr>
                <w:b/>
              </w:rPr>
              <w:t>Discipline</w:t>
            </w:r>
          </w:p>
        </w:tc>
        <w:tc>
          <w:tcPr>
            <w:tcW w:w="1648" w:type="dxa"/>
            <w:vAlign w:val="center"/>
          </w:tcPr>
          <w:p w14:paraId="313E7C62" w14:textId="77777777" w:rsidR="00D51368" w:rsidRPr="00B06BB9" w:rsidRDefault="00D51368" w:rsidP="00B65FE4">
            <w:pPr>
              <w:pStyle w:val="Footer"/>
              <w:jc w:val="center"/>
              <w:rPr>
                <w:b/>
              </w:rPr>
            </w:pPr>
            <w:r>
              <w:rPr>
                <w:b/>
              </w:rPr>
              <w:t>Master’s Degree</w:t>
            </w:r>
          </w:p>
        </w:tc>
        <w:tc>
          <w:tcPr>
            <w:tcW w:w="1654" w:type="dxa"/>
            <w:vAlign w:val="center"/>
          </w:tcPr>
          <w:p w14:paraId="453691EB" w14:textId="77777777" w:rsidR="00D51368" w:rsidRDefault="00D51368" w:rsidP="00B65FE4">
            <w:pPr>
              <w:pStyle w:val="Footer"/>
              <w:jc w:val="center"/>
              <w:rPr>
                <w:b/>
              </w:rPr>
            </w:pPr>
            <w:r>
              <w:rPr>
                <w:b/>
              </w:rPr>
              <w:t xml:space="preserve">Doctoral </w:t>
            </w:r>
          </w:p>
          <w:p w14:paraId="5988C7CD" w14:textId="77777777" w:rsidR="00D51368" w:rsidRPr="00B06BB9" w:rsidRDefault="00D51368" w:rsidP="00B65FE4">
            <w:pPr>
              <w:pStyle w:val="Footer"/>
              <w:jc w:val="center"/>
              <w:rPr>
                <w:b/>
              </w:rPr>
            </w:pPr>
            <w:r>
              <w:rPr>
                <w:b/>
              </w:rPr>
              <w:t>(or terminal) Degree</w:t>
            </w:r>
          </w:p>
        </w:tc>
        <w:tc>
          <w:tcPr>
            <w:tcW w:w="1648" w:type="dxa"/>
            <w:vAlign w:val="center"/>
          </w:tcPr>
          <w:p w14:paraId="6F65DEBC" w14:textId="77777777" w:rsidR="00D51368" w:rsidRPr="00B06BB9" w:rsidRDefault="00D51368" w:rsidP="00B65FE4">
            <w:pPr>
              <w:pStyle w:val="Footer"/>
              <w:jc w:val="center"/>
              <w:rPr>
                <w:b/>
              </w:rPr>
            </w:pPr>
            <w:r>
              <w:rPr>
                <w:b/>
              </w:rPr>
              <w:t>Master’s Degree</w:t>
            </w:r>
          </w:p>
        </w:tc>
        <w:tc>
          <w:tcPr>
            <w:tcW w:w="1654" w:type="dxa"/>
            <w:vAlign w:val="center"/>
          </w:tcPr>
          <w:p w14:paraId="321EB547" w14:textId="77777777" w:rsidR="00D51368" w:rsidRDefault="00D51368" w:rsidP="00B65FE4">
            <w:pPr>
              <w:pStyle w:val="Footer"/>
              <w:jc w:val="center"/>
              <w:rPr>
                <w:b/>
              </w:rPr>
            </w:pPr>
            <w:r>
              <w:rPr>
                <w:b/>
              </w:rPr>
              <w:t xml:space="preserve">Doctoral </w:t>
            </w:r>
          </w:p>
          <w:p w14:paraId="5F1D3CAF" w14:textId="77777777" w:rsidR="00D51368" w:rsidRPr="00B06BB9" w:rsidRDefault="00D51368" w:rsidP="00B65FE4">
            <w:pPr>
              <w:pStyle w:val="Footer"/>
              <w:jc w:val="center"/>
              <w:rPr>
                <w:b/>
              </w:rPr>
            </w:pPr>
            <w:r>
              <w:rPr>
                <w:b/>
              </w:rPr>
              <w:t>(or terminal) Degree</w:t>
            </w:r>
          </w:p>
        </w:tc>
        <w:tc>
          <w:tcPr>
            <w:tcW w:w="1646" w:type="dxa"/>
            <w:vAlign w:val="center"/>
          </w:tcPr>
          <w:p w14:paraId="7FADE1E2" w14:textId="77777777" w:rsidR="00D51368" w:rsidRPr="00B06BB9" w:rsidRDefault="00D51368" w:rsidP="00B65FE4">
            <w:pPr>
              <w:pStyle w:val="Footer"/>
              <w:jc w:val="center"/>
              <w:rPr>
                <w:b/>
              </w:rPr>
            </w:pPr>
            <w:r>
              <w:rPr>
                <w:b/>
              </w:rPr>
              <w:t>Doctoral Degree</w:t>
            </w:r>
          </w:p>
        </w:tc>
      </w:tr>
      <w:tr w:rsidR="00D51368" w14:paraId="00EAE9DD" w14:textId="77777777" w:rsidTr="000614E1">
        <w:trPr>
          <w:jc w:val="center"/>
        </w:trPr>
        <w:tc>
          <w:tcPr>
            <w:tcW w:w="2190" w:type="dxa"/>
            <w:vAlign w:val="center"/>
          </w:tcPr>
          <w:p w14:paraId="6C73DF91" w14:textId="77777777" w:rsidR="00D51368" w:rsidRDefault="00D51368" w:rsidP="00B65FE4">
            <w:pPr>
              <w:pStyle w:val="Footer"/>
              <w:rPr>
                <w:b/>
              </w:rPr>
            </w:pPr>
            <w:r>
              <w:rPr>
                <w:b/>
              </w:rPr>
              <w:t>Pay Grade 4</w:t>
            </w:r>
          </w:p>
          <w:p w14:paraId="34549F3C" w14:textId="77777777" w:rsidR="00D51368" w:rsidRPr="00B06BB9" w:rsidRDefault="00D51368" w:rsidP="00B65FE4">
            <w:pPr>
              <w:pStyle w:val="Footer"/>
            </w:pPr>
            <w:r w:rsidRPr="00B52F6D">
              <w:t xml:space="preserve">College of Business, </w:t>
            </w:r>
            <w:r>
              <w:t xml:space="preserve">EdD, </w:t>
            </w:r>
            <w:proofErr w:type="spellStart"/>
            <w:r w:rsidRPr="00B52F6D">
              <w:t>MEd</w:t>
            </w:r>
            <w:r>
              <w:t>CI</w:t>
            </w:r>
            <w:proofErr w:type="spellEnd"/>
            <w:r w:rsidRPr="00B52F6D">
              <w:t xml:space="preserve">, </w:t>
            </w:r>
            <w:proofErr w:type="spellStart"/>
            <w:proofErr w:type="gramStart"/>
            <w:r w:rsidRPr="00B52F6D">
              <w:t>MEdL</w:t>
            </w:r>
            <w:proofErr w:type="spellEnd"/>
            <w:r w:rsidRPr="00B52F6D">
              <w:t>,  MPH</w:t>
            </w:r>
            <w:proofErr w:type="gramEnd"/>
          </w:p>
        </w:tc>
        <w:tc>
          <w:tcPr>
            <w:tcW w:w="1648" w:type="dxa"/>
            <w:vAlign w:val="center"/>
          </w:tcPr>
          <w:p w14:paraId="2D6D8775" w14:textId="77777777" w:rsidR="00D51368" w:rsidRDefault="00D51368" w:rsidP="00B65FE4">
            <w:pPr>
              <w:pStyle w:val="Footer"/>
            </w:pPr>
            <w:r>
              <w:t>$2000 - $3000</w:t>
            </w:r>
          </w:p>
        </w:tc>
        <w:tc>
          <w:tcPr>
            <w:tcW w:w="1654" w:type="dxa"/>
            <w:vAlign w:val="center"/>
          </w:tcPr>
          <w:p w14:paraId="5DF251FE" w14:textId="77777777" w:rsidR="00D51368" w:rsidRDefault="00D51368" w:rsidP="00B65FE4">
            <w:pPr>
              <w:pStyle w:val="Footer"/>
            </w:pPr>
            <w:r>
              <w:t>$2500 - $3500</w:t>
            </w:r>
          </w:p>
        </w:tc>
        <w:tc>
          <w:tcPr>
            <w:tcW w:w="1648" w:type="dxa"/>
            <w:vAlign w:val="center"/>
          </w:tcPr>
          <w:p w14:paraId="344069D8" w14:textId="77777777" w:rsidR="00D51368" w:rsidRDefault="00D51368" w:rsidP="00B65FE4">
            <w:pPr>
              <w:pStyle w:val="Footer"/>
            </w:pPr>
            <w:r>
              <w:t>$3000 - $4000</w:t>
            </w:r>
          </w:p>
        </w:tc>
        <w:tc>
          <w:tcPr>
            <w:tcW w:w="1654" w:type="dxa"/>
            <w:vAlign w:val="center"/>
          </w:tcPr>
          <w:p w14:paraId="262964E1" w14:textId="77777777" w:rsidR="00D51368" w:rsidRDefault="00D51368" w:rsidP="00B65FE4">
            <w:pPr>
              <w:pStyle w:val="Footer"/>
            </w:pPr>
            <w:r>
              <w:t>$3500 - $4500</w:t>
            </w:r>
          </w:p>
        </w:tc>
        <w:tc>
          <w:tcPr>
            <w:tcW w:w="1646" w:type="dxa"/>
            <w:vAlign w:val="center"/>
          </w:tcPr>
          <w:p w14:paraId="1D0FC450" w14:textId="77777777" w:rsidR="00D51368" w:rsidRDefault="00D51368" w:rsidP="00B65FE4">
            <w:pPr>
              <w:pStyle w:val="Footer"/>
            </w:pPr>
            <w:r>
              <w:t>$3500 - $4500</w:t>
            </w:r>
          </w:p>
        </w:tc>
      </w:tr>
      <w:tr w:rsidR="00D51368" w14:paraId="652DE3BB" w14:textId="77777777" w:rsidTr="000614E1">
        <w:trPr>
          <w:jc w:val="center"/>
        </w:trPr>
        <w:tc>
          <w:tcPr>
            <w:tcW w:w="2190" w:type="dxa"/>
            <w:vAlign w:val="center"/>
          </w:tcPr>
          <w:p w14:paraId="4F1A6A9F" w14:textId="77777777" w:rsidR="00D51368" w:rsidRDefault="00D51368" w:rsidP="00B65FE4">
            <w:pPr>
              <w:pStyle w:val="Footer"/>
              <w:rPr>
                <w:b/>
              </w:rPr>
            </w:pPr>
            <w:r>
              <w:rPr>
                <w:b/>
              </w:rPr>
              <w:t>Pay Grade 3</w:t>
            </w:r>
          </w:p>
          <w:p w14:paraId="43793D77" w14:textId="77777777" w:rsidR="00D51368" w:rsidRPr="00B06BB9" w:rsidRDefault="00D51368" w:rsidP="00B65FE4">
            <w:pPr>
              <w:pStyle w:val="Footer"/>
            </w:pPr>
            <w:r w:rsidRPr="00B52F6D">
              <w:t xml:space="preserve">Computer Science, </w:t>
            </w:r>
            <w:r>
              <w:t xml:space="preserve">MSC, </w:t>
            </w:r>
            <w:r w:rsidRPr="00B52F6D">
              <w:t>NPA</w:t>
            </w:r>
            <w:r>
              <w:t>, SSP</w:t>
            </w:r>
          </w:p>
        </w:tc>
        <w:tc>
          <w:tcPr>
            <w:tcW w:w="1648" w:type="dxa"/>
            <w:vAlign w:val="center"/>
          </w:tcPr>
          <w:p w14:paraId="1D37CC29" w14:textId="77777777" w:rsidR="00D51368" w:rsidRDefault="00D51368" w:rsidP="00B65FE4">
            <w:pPr>
              <w:pStyle w:val="Footer"/>
            </w:pPr>
            <w:r>
              <w:t>$2000 - $3000</w:t>
            </w:r>
          </w:p>
        </w:tc>
        <w:tc>
          <w:tcPr>
            <w:tcW w:w="1654" w:type="dxa"/>
            <w:vAlign w:val="center"/>
          </w:tcPr>
          <w:p w14:paraId="009FF0C7" w14:textId="77777777" w:rsidR="00D51368" w:rsidRDefault="00D51368" w:rsidP="00B65FE4">
            <w:pPr>
              <w:pStyle w:val="Footer"/>
            </w:pPr>
            <w:r>
              <w:t>$2500 - $3500</w:t>
            </w:r>
          </w:p>
        </w:tc>
        <w:tc>
          <w:tcPr>
            <w:tcW w:w="1648" w:type="dxa"/>
            <w:vAlign w:val="center"/>
          </w:tcPr>
          <w:p w14:paraId="12E4B865" w14:textId="77777777" w:rsidR="00D51368" w:rsidRDefault="00D51368" w:rsidP="00B65FE4">
            <w:pPr>
              <w:pStyle w:val="Footer"/>
            </w:pPr>
            <w:r>
              <w:t>$3000 - $3500</w:t>
            </w:r>
          </w:p>
        </w:tc>
        <w:tc>
          <w:tcPr>
            <w:tcW w:w="1654" w:type="dxa"/>
            <w:vAlign w:val="center"/>
          </w:tcPr>
          <w:p w14:paraId="6B82B3B6" w14:textId="77777777" w:rsidR="00D51368" w:rsidRDefault="00D51368" w:rsidP="00B65FE4">
            <w:pPr>
              <w:pStyle w:val="Footer"/>
            </w:pPr>
            <w:r>
              <w:t>$3500 - $4000</w:t>
            </w:r>
          </w:p>
        </w:tc>
        <w:tc>
          <w:tcPr>
            <w:tcW w:w="1646" w:type="dxa"/>
            <w:vAlign w:val="center"/>
          </w:tcPr>
          <w:p w14:paraId="10353B3A" w14:textId="77777777" w:rsidR="00D51368" w:rsidRDefault="00D51368" w:rsidP="00B65FE4">
            <w:pPr>
              <w:pStyle w:val="Footer"/>
            </w:pPr>
            <w:r>
              <w:t>n/a</w:t>
            </w:r>
          </w:p>
        </w:tc>
      </w:tr>
      <w:tr w:rsidR="00D51368" w14:paraId="4868D3CD" w14:textId="77777777" w:rsidTr="000614E1">
        <w:trPr>
          <w:jc w:val="center"/>
        </w:trPr>
        <w:tc>
          <w:tcPr>
            <w:tcW w:w="2190" w:type="dxa"/>
            <w:vAlign w:val="center"/>
          </w:tcPr>
          <w:p w14:paraId="2C865799" w14:textId="77777777" w:rsidR="00D51368" w:rsidRDefault="00D51368" w:rsidP="00B65FE4">
            <w:pPr>
              <w:pStyle w:val="Footer"/>
              <w:rPr>
                <w:b/>
              </w:rPr>
            </w:pPr>
            <w:r>
              <w:rPr>
                <w:b/>
              </w:rPr>
              <w:t>Pay Grade 2</w:t>
            </w:r>
          </w:p>
          <w:p w14:paraId="38DB5A2E" w14:textId="77777777" w:rsidR="00D51368" w:rsidRPr="00B06BB9" w:rsidRDefault="00D51368" w:rsidP="00B65FE4">
            <w:pPr>
              <w:pStyle w:val="Footer"/>
            </w:pPr>
            <w:r w:rsidRPr="00B52F6D">
              <w:t xml:space="preserve">School of Education, </w:t>
            </w:r>
            <w:r>
              <w:t xml:space="preserve">School </w:t>
            </w:r>
            <w:r>
              <w:lastRenderedPageBreak/>
              <w:t xml:space="preserve">of Human Sciences, </w:t>
            </w:r>
            <w:r w:rsidRPr="00B52F6D">
              <w:t>School of Mathematics &amp; Sciences</w:t>
            </w:r>
          </w:p>
        </w:tc>
        <w:tc>
          <w:tcPr>
            <w:tcW w:w="1648" w:type="dxa"/>
            <w:vAlign w:val="center"/>
          </w:tcPr>
          <w:p w14:paraId="521F6922" w14:textId="77777777" w:rsidR="00D51368" w:rsidRDefault="00D51368" w:rsidP="00B65FE4">
            <w:pPr>
              <w:pStyle w:val="Footer"/>
            </w:pPr>
            <w:r>
              <w:lastRenderedPageBreak/>
              <w:t>$2000 - $3000</w:t>
            </w:r>
          </w:p>
        </w:tc>
        <w:tc>
          <w:tcPr>
            <w:tcW w:w="1654" w:type="dxa"/>
            <w:vAlign w:val="center"/>
          </w:tcPr>
          <w:p w14:paraId="1A110FB3" w14:textId="77777777" w:rsidR="00D51368" w:rsidRDefault="00D51368" w:rsidP="00B65FE4">
            <w:pPr>
              <w:pStyle w:val="Footer"/>
            </w:pPr>
            <w:r>
              <w:t>$2500 - $3000</w:t>
            </w:r>
          </w:p>
        </w:tc>
        <w:tc>
          <w:tcPr>
            <w:tcW w:w="1648" w:type="dxa"/>
            <w:vAlign w:val="center"/>
          </w:tcPr>
          <w:p w14:paraId="1B941168" w14:textId="77777777" w:rsidR="00D51368" w:rsidRDefault="00D51368" w:rsidP="00B65FE4">
            <w:pPr>
              <w:pStyle w:val="Footer"/>
            </w:pPr>
            <w:r>
              <w:t>$2500 - $3500</w:t>
            </w:r>
          </w:p>
        </w:tc>
        <w:tc>
          <w:tcPr>
            <w:tcW w:w="1654" w:type="dxa"/>
            <w:vAlign w:val="center"/>
          </w:tcPr>
          <w:p w14:paraId="1A6C9248" w14:textId="77777777" w:rsidR="00D51368" w:rsidRDefault="00D51368" w:rsidP="00B65FE4">
            <w:pPr>
              <w:pStyle w:val="Footer"/>
            </w:pPr>
            <w:r>
              <w:t>$3000 - $4000</w:t>
            </w:r>
          </w:p>
        </w:tc>
        <w:tc>
          <w:tcPr>
            <w:tcW w:w="1646" w:type="dxa"/>
            <w:vAlign w:val="center"/>
          </w:tcPr>
          <w:p w14:paraId="5234A348" w14:textId="77777777" w:rsidR="00D51368" w:rsidRDefault="00D51368" w:rsidP="00B65FE4">
            <w:pPr>
              <w:pStyle w:val="Footer"/>
            </w:pPr>
            <w:r>
              <w:t>n/a</w:t>
            </w:r>
          </w:p>
        </w:tc>
      </w:tr>
      <w:tr w:rsidR="00D51368" w14:paraId="19FABD1D" w14:textId="77777777" w:rsidTr="000614E1">
        <w:trPr>
          <w:jc w:val="center"/>
        </w:trPr>
        <w:tc>
          <w:tcPr>
            <w:tcW w:w="2190" w:type="dxa"/>
            <w:vAlign w:val="center"/>
          </w:tcPr>
          <w:p w14:paraId="789246B9" w14:textId="77777777" w:rsidR="00D51368" w:rsidRDefault="00D51368" w:rsidP="00B65FE4">
            <w:pPr>
              <w:pStyle w:val="Footer"/>
              <w:rPr>
                <w:b/>
              </w:rPr>
            </w:pPr>
            <w:r>
              <w:rPr>
                <w:b/>
              </w:rPr>
              <w:t>Pay Grade 1</w:t>
            </w:r>
          </w:p>
          <w:p w14:paraId="1EB00C96" w14:textId="77777777" w:rsidR="00D51368" w:rsidRPr="00B06BB9" w:rsidRDefault="00D51368" w:rsidP="00B65FE4">
            <w:pPr>
              <w:pStyle w:val="Footer"/>
            </w:pPr>
            <w:r w:rsidRPr="00B52F6D">
              <w:t>Kinesiology &amp; Health Science, School of Humanities &amp; Social Sciences</w:t>
            </w:r>
          </w:p>
        </w:tc>
        <w:tc>
          <w:tcPr>
            <w:tcW w:w="1648" w:type="dxa"/>
            <w:vAlign w:val="center"/>
          </w:tcPr>
          <w:p w14:paraId="62DFA730" w14:textId="77777777" w:rsidR="00D51368" w:rsidRDefault="00D51368" w:rsidP="00B65FE4">
            <w:pPr>
              <w:pStyle w:val="Footer"/>
            </w:pPr>
            <w:r>
              <w:t>$2000 - $3000</w:t>
            </w:r>
          </w:p>
        </w:tc>
        <w:tc>
          <w:tcPr>
            <w:tcW w:w="1654" w:type="dxa"/>
            <w:vAlign w:val="center"/>
          </w:tcPr>
          <w:p w14:paraId="391DCE54" w14:textId="77777777" w:rsidR="00D51368" w:rsidRDefault="00D51368" w:rsidP="00B65FE4">
            <w:pPr>
              <w:pStyle w:val="Footer"/>
            </w:pPr>
            <w:r>
              <w:t>$2500 - $3000</w:t>
            </w:r>
          </w:p>
        </w:tc>
        <w:tc>
          <w:tcPr>
            <w:tcW w:w="1648" w:type="dxa"/>
            <w:vAlign w:val="center"/>
          </w:tcPr>
          <w:p w14:paraId="478149F3" w14:textId="77777777" w:rsidR="00D51368" w:rsidRDefault="00D51368" w:rsidP="00B65FE4">
            <w:pPr>
              <w:pStyle w:val="Footer"/>
            </w:pPr>
            <w:r>
              <w:t>$2000 - $3000</w:t>
            </w:r>
          </w:p>
        </w:tc>
        <w:tc>
          <w:tcPr>
            <w:tcW w:w="1654" w:type="dxa"/>
            <w:vAlign w:val="center"/>
          </w:tcPr>
          <w:p w14:paraId="45FEDC86" w14:textId="77777777" w:rsidR="00D51368" w:rsidRDefault="00D51368" w:rsidP="00B65FE4">
            <w:pPr>
              <w:pStyle w:val="Footer"/>
            </w:pPr>
            <w:r>
              <w:t>$2500 - $3500</w:t>
            </w:r>
          </w:p>
        </w:tc>
        <w:tc>
          <w:tcPr>
            <w:tcW w:w="1646" w:type="dxa"/>
            <w:vAlign w:val="center"/>
          </w:tcPr>
          <w:p w14:paraId="5D5ED413" w14:textId="77777777" w:rsidR="00D51368" w:rsidRDefault="00D51368" w:rsidP="00B65FE4">
            <w:pPr>
              <w:pStyle w:val="Footer"/>
            </w:pPr>
            <w:r>
              <w:t>n/a</w:t>
            </w:r>
          </w:p>
        </w:tc>
      </w:tr>
      <w:tr w:rsidR="00D51368" w14:paraId="166687A9" w14:textId="77777777" w:rsidTr="000614E1">
        <w:trPr>
          <w:jc w:val="center"/>
        </w:trPr>
        <w:tc>
          <w:tcPr>
            <w:tcW w:w="2190" w:type="dxa"/>
            <w:vAlign w:val="center"/>
          </w:tcPr>
          <w:p w14:paraId="4335BDB4" w14:textId="77777777" w:rsidR="00D51368" w:rsidRDefault="00D51368" w:rsidP="00B65FE4">
            <w:pPr>
              <w:pStyle w:val="Footer"/>
            </w:pPr>
            <w:r>
              <w:t>Student Teacher Supervisor</w:t>
            </w:r>
          </w:p>
        </w:tc>
        <w:tc>
          <w:tcPr>
            <w:tcW w:w="1648" w:type="dxa"/>
            <w:vAlign w:val="center"/>
          </w:tcPr>
          <w:p w14:paraId="7FBB76C2" w14:textId="77777777" w:rsidR="00D51368" w:rsidRDefault="00D51368" w:rsidP="00B65FE4">
            <w:pPr>
              <w:pStyle w:val="Footer"/>
            </w:pPr>
            <w:r w:rsidRPr="00CF0016">
              <w:t>$2000</w:t>
            </w:r>
          </w:p>
        </w:tc>
        <w:tc>
          <w:tcPr>
            <w:tcW w:w="1654" w:type="dxa"/>
            <w:vAlign w:val="center"/>
          </w:tcPr>
          <w:p w14:paraId="55C7DE8C" w14:textId="77777777" w:rsidR="00D51368" w:rsidRPr="00CF0016" w:rsidRDefault="00D51368" w:rsidP="00B65FE4">
            <w:pPr>
              <w:pStyle w:val="Footer"/>
            </w:pPr>
            <w:r w:rsidRPr="00CF0016">
              <w:t>$2000</w:t>
            </w:r>
          </w:p>
        </w:tc>
        <w:tc>
          <w:tcPr>
            <w:tcW w:w="1648" w:type="dxa"/>
            <w:vAlign w:val="center"/>
          </w:tcPr>
          <w:p w14:paraId="6FB17441" w14:textId="77777777" w:rsidR="00D51368" w:rsidRDefault="00D51368" w:rsidP="00B65FE4">
            <w:pPr>
              <w:pStyle w:val="Footer"/>
            </w:pPr>
            <w:r>
              <w:t>n/a</w:t>
            </w:r>
          </w:p>
        </w:tc>
        <w:tc>
          <w:tcPr>
            <w:tcW w:w="1654" w:type="dxa"/>
            <w:vAlign w:val="center"/>
          </w:tcPr>
          <w:p w14:paraId="05C5C1D3" w14:textId="77777777" w:rsidR="00D51368" w:rsidRDefault="00D51368" w:rsidP="00B65FE4">
            <w:pPr>
              <w:pStyle w:val="Footer"/>
            </w:pPr>
            <w:r>
              <w:t>n/a</w:t>
            </w:r>
          </w:p>
        </w:tc>
        <w:tc>
          <w:tcPr>
            <w:tcW w:w="1646" w:type="dxa"/>
            <w:vAlign w:val="center"/>
          </w:tcPr>
          <w:p w14:paraId="0EA977D3" w14:textId="77777777" w:rsidR="00D51368" w:rsidRDefault="00D51368" w:rsidP="00B65FE4">
            <w:pPr>
              <w:pStyle w:val="Footer"/>
            </w:pPr>
            <w:r>
              <w:t>n/a</w:t>
            </w:r>
          </w:p>
        </w:tc>
      </w:tr>
    </w:tbl>
    <w:p w14:paraId="20CFFA9E" w14:textId="77777777" w:rsidR="00813A36" w:rsidRDefault="00813A36" w:rsidP="00C1193D">
      <w:pPr>
        <w:spacing w:after="0"/>
        <w:rPr>
          <w:b/>
          <w:bCs/>
          <w:color w:val="461D7C"/>
        </w:rPr>
      </w:pPr>
    </w:p>
    <w:p w14:paraId="3511EF90" w14:textId="77777777" w:rsidR="00813A36" w:rsidRDefault="00813A36" w:rsidP="00C1193D">
      <w:pPr>
        <w:spacing w:after="0"/>
        <w:rPr>
          <w:b/>
          <w:bCs/>
          <w:color w:val="461D7C"/>
        </w:rPr>
      </w:pPr>
    </w:p>
    <w:p w14:paraId="498AA835" w14:textId="77777777" w:rsidR="00813A36" w:rsidRDefault="00813A36" w:rsidP="00C1193D">
      <w:pPr>
        <w:spacing w:after="0"/>
        <w:rPr>
          <w:b/>
          <w:bCs/>
          <w:color w:val="461D7C"/>
        </w:rPr>
      </w:pPr>
    </w:p>
    <w:p w14:paraId="79F1250B" w14:textId="77777777" w:rsidR="00813A36" w:rsidRDefault="00813A36" w:rsidP="00C1193D">
      <w:pPr>
        <w:spacing w:after="0"/>
        <w:rPr>
          <w:b/>
          <w:bCs/>
          <w:color w:val="461D7C"/>
        </w:rPr>
      </w:pPr>
    </w:p>
    <w:p w14:paraId="7F837C52" w14:textId="77777777" w:rsidR="00813A36" w:rsidRDefault="00813A36" w:rsidP="00C1193D">
      <w:pPr>
        <w:spacing w:after="0"/>
        <w:rPr>
          <w:b/>
          <w:bCs/>
          <w:color w:val="461D7C"/>
        </w:rPr>
      </w:pPr>
    </w:p>
    <w:p w14:paraId="5F1A4F90" w14:textId="77777777" w:rsidR="00813A36" w:rsidRDefault="00813A36" w:rsidP="00C1193D">
      <w:pPr>
        <w:spacing w:after="0"/>
        <w:rPr>
          <w:b/>
          <w:bCs/>
          <w:color w:val="461D7C"/>
        </w:rPr>
      </w:pPr>
    </w:p>
    <w:p w14:paraId="1E8CE831" w14:textId="77777777" w:rsidR="00813A36" w:rsidRDefault="00813A36" w:rsidP="00C1193D">
      <w:pPr>
        <w:spacing w:after="0"/>
        <w:rPr>
          <w:b/>
          <w:bCs/>
          <w:color w:val="461D7C"/>
        </w:rPr>
      </w:pPr>
    </w:p>
    <w:p w14:paraId="09F6996C" w14:textId="77777777" w:rsidR="00813A36" w:rsidRDefault="00813A36" w:rsidP="00C1193D">
      <w:pPr>
        <w:spacing w:after="0"/>
        <w:rPr>
          <w:b/>
          <w:bCs/>
          <w:color w:val="461D7C"/>
        </w:rPr>
      </w:pPr>
    </w:p>
    <w:p w14:paraId="46103AF0" w14:textId="77777777" w:rsidR="00813A36" w:rsidRDefault="00813A36" w:rsidP="00C1193D">
      <w:pPr>
        <w:spacing w:after="0"/>
        <w:rPr>
          <w:b/>
          <w:bCs/>
          <w:color w:val="461D7C"/>
        </w:rPr>
      </w:pPr>
    </w:p>
    <w:p w14:paraId="7CF80561" w14:textId="77777777" w:rsidR="00813A36" w:rsidRDefault="00813A36" w:rsidP="00C1193D">
      <w:pPr>
        <w:spacing w:after="0"/>
        <w:rPr>
          <w:b/>
          <w:bCs/>
          <w:color w:val="461D7C"/>
        </w:rPr>
      </w:pPr>
    </w:p>
    <w:p w14:paraId="7C88D955" w14:textId="77777777" w:rsidR="00813A36" w:rsidRDefault="00813A36" w:rsidP="00C1193D">
      <w:pPr>
        <w:spacing w:after="0"/>
        <w:rPr>
          <w:b/>
          <w:bCs/>
          <w:color w:val="461D7C"/>
        </w:rPr>
      </w:pPr>
    </w:p>
    <w:p w14:paraId="7D2A5545" w14:textId="77777777" w:rsidR="00813A36" w:rsidRDefault="00813A36" w:rsidP="00C1193D">
      <w:pPr>
        <w:spacing w:after="0"/>
        <w:rPr>
          <w:b/>
          <w:bCs/>
          <w:color w:val="461D7C"/>
        </w:rPr>
      </w:pPr>
    </w:p>
    <w:p w14:paraId="5B76A104" w14:textId="77777777" w:rsidR="00813A36" w:rsidRDefault="00813A36" w:rsidP="00C1193D">
      <w:pPr>
        <w:spacing w:after="0"/>
        <w:rPr>
          <w:b/>
          <w:bCs/>
          <w:color w:val="461D7C"/>
        </w:rPr>
      </w:pPr>
    </w:p>
    <w:p w14:paraId="74B1C086" w14:textId="77777777" w:rsidR="00813A36" w:rsidRDefault="00813A36" w:rsidP="00C1193D">
      <w:pPr>
        <w:spacing w:after="0"/>
        <w:rPr>
          <w:b/>
          <w:bCs/>
          <w:color w:val="461D7C"/>
        </w:rPr>
      </w:pPr>
    </w:p>
    <w:p w14:paraId="780504A8" w14:textId="77777777" w:rsidR="00813A36" w:rsidRDefault="00813A36" w:rsidP="00C1193D">
      <w:pPr>
        <w:spacing w:after="0"/>
        <w:rPr>
          <w:b/>
          <w:bCs/>
          <w:color w:val="461D7C"/>
        </w:rPr>
      </w:pPr>
    </w:p>
    <w:p w14:paraId="0F4CA38C" w14:textId="77777777" w:rsidR="00813A36" w:rsidRDefault="00813A36" w:rsidP="00C1193D">
      <w:pPr>
        <w:spacing w:after="0"/>
        <w:rPr>
          <w:b/>
          <w:bCs/>
          <w:color w:val="461D7C"/>
        </w:rPr>
      </w:pPr>
    </w:p>
    <w:p w14:paraId="2DFFBFA3" w14:textId="77777777" w:rsidR="00813A36" w:rsidRDefault="00813A36" w:rsidP="00C1193D">
      <w:pPr>
        <w:spacing w:after="0"/>
        <w:rPr>
          <w:b/>
          <w:bCs/>
          <w:color w:val="461D7C"/>
        </w:rPr>
      </w:pPr>
    </w:p>
    <w:p w14:paraId="6A4DA24C" w14:textId="77777777" w:rsidR="00813A36" w:rsidRDefault="00813A36" w:rsidP="00C1193D">
      <w:pPr>
        <w:spacing w:after="0"/>
        <w:rPr>
          <w:b/>
          <w:bCs/>
          <w:color w:val="461D7C"/>
        </w:rPr>
      </w:pPr>
    </w:p>
    <w:p w14:paraId="342EC9EE" w14:textId="77777777" w:rsidR="00813A36" w:rsidRDefault="00813A36" w:rsidP="00C1193D">
      <w:pPr>
        <w:spacing w:after="0"/>
        <w:rPr>
          <w:b/>
          <w:bCs/>
          <w:color w:val="461D7C"/>
        </w:rPr>
      </w:pPr>
    </w:p>
    <w:p w14:paraId="275A78B3" w14:textId="77777777" w:rsidR="00813A36" w:rsidRDefault="00813A36" w:rsidP="00C1193D">
      <w:pPr>
        <w:spacing w:after="0"/>
        <w:rPr>
          <w:b/>
          <w:bCs/>
          <w:color w:val="461D7C"/>
        </w:rPr>
      </w:pPr>
    </w:p>
    <w:p w14:paraId="1491E365" w14:textId="77777777" w:rsidR="00813A36" w:rsidRDefault="00813A36" w:rsidP="00C1193D">
      <w:pPr>
        <w:spacing w:after="0"/>
        <w:rPr>
          <w:b/>
          <w:bCs/>
          <w:color w:val="461D7C"/>
        </w:rPr>
      </w:pPr>
    </w:p>
    <w:p w14:paraId="50CAFD20" w14:textId="77777777" w:rsidR="00813A36" w:rsidRDefault="00813A36" w:rsidP="00C1193D">
      <w:pPr>
        <w:spacing w:after="0"/>
        <w:rPr>
          <w:b/>
          <w:bCs/>
          <w:color w:val="461D7C"/>
        </w:rPr>
      </w:pPr>
    </w:p>
    <w:p w14:paraId="1EC1D64F" w14:textId="77777777" w:rsidR="00813A36" w:rsidRDefault="00813A36" w:rsidP="00C1193D">
      <w:pPr>
        <w:spacing w:after="0"/>
        <w:rPr>
          <w:b/>
          <w:bCs/>
          <w:color w:val="461D7C"/>
        </w:rPr>
      </w:pPr>
    </w:p>
    <w:p w14:paraId="0596F645" w14:textId="77777777" w:rsidR="00813A36" w:rsidRDefault="00813A36" w:rsidP="00C1193D">
      <w:pPr>
        <w:spacing w:after="0"/>
        <w:rPr>
          <w:b/>
          <w:bCs/>
          <w:color w:val="461D7C"/>
        </w:rPr>
      </w:pPr>
    </w:p>
    <w:p w14:paraId="3ED99167" w14:textId="77777777" w:rsidR="00813A36" w:rsidRDefault="00813A36" w:rsidP="00C1193D">
      <w:pPr>
        <w:spacing w:after="0"/>
        <w:rPr>
          <w:b/>
          <w:bCs/>
          <w:color w:val="461D7C"/>
        </w:rPr>
      </w:pPr>
    </w:p>
    <w:p w14:paraId="67AAB255" w14:textId="77777777" w:rsidR="00813A36" w:rsidRDefault="00813A36" w:rsidP="00C1193D">
      <w:pPr>
        <w:spacing w:after="0"/>
        <w:rPr>
          <w:b/>
          <w:bCs/>
          <w:color w:val="461D7C"/>
        </w:rPr>
      </w:pPr>
    </w:p>
    <w:p w14:paraId="7C99F14D" w14:textId="77777777" w:rsidR="00813A36" w:rsidRDefault="00813A36" w:rsidP="00C1193D">
      <w:pPr>
        <w:spacing w:after="0"/>
        <w:rPr>
          <w:b/>
          <w:bCs/>
          <w:color w:val="461D7C"/>
        </w:rPr>
      </w:pPr>
    </w:p>
    <w:p w14:paraId="5B660E46" w14:textId="1A885E64" w:rsidR="00C1193D" w:rsidRPr="00C1193D" w:rsidRDefault="00C1193D" w:rsidP="00C1193D">
      <w:pPr>
        <w:spacing w:after="0"/>
        <w:rPr>
          <w:b/>
          <w:bCs/>
          <w:color w:val="461D7C"/>
        </w:rPr>
      </w:pPr>
      <w:r w:rsidRPr="00C1193D">
        <w:rPr>
          <w:b/>
          <w:bCs/>
          <w:color w:val="461D7C"/>
        </w:rPr>
        <w:lastRenderedPageBreak/>
        <w:t>APPENDIX B to LSUS Policy Statement 2.33.0</w:t>
      </w:r>
      <w:r w:rsidR="003B00F3">
        <w:rPr>
          <w:b/>
          <w:bCs/>
          <w:color w:val="461D7C"/>
        </w:rPr>
        <w:t>5</w:t>
      </w:r>
    </w:p>
    <w:p w14:paraId="2D1F6BEB" w14:textId="753E6C24" w:rsidR="004B1AE9" w:rsidRDefault="00C1193D" w:rsidP="00C1193D">
      <w:pPr>
        <w:spacing w:after="0"/>
        <w:rPr>
          <w:b/>
          <w:bCs/>
          <w:color w:val="461D7C"/>
        </w:rPr>
      </w:pPr>
      <w:r w:rsidRPr="00C1193D">
        <w:rPr>
          <w:b/>
          <w:bCs/>
          <w:color w:val="461D7C"/>
        </w:rPr>
        <w:t>SUMMER SCHOOL COMPENSATION FOR NINE-MONTH FACULTY</w:t>
      </w:r>
    </w:p>
    <w:p w14:paraId="0AEAE61E" w14:textId="77777777" w:rsidR="0037797A" w:rsidRDefault="0037797A" w:rsidP="00C1193D">
      <w:pPr>
        <w:spacing w:after="0"/>
        <w:rPr>
          <w:b/>
          <w:bCs/>
          <w:color w:val="461D7C"/>
        </w:rPr>
      </w:pPr>
    </w:p>
    <w:p w14:paraId="559D0D64" w14:textId="77777777" w:rsidR="0037797A" w:rsidRPr="0037797A" w:rsidRDefault="0037797A" w:rsidP="0037797A">
      <w:pPr>
        <w:pStyle w:val="ListParagraph"/>
        <w:numPr>
          <w:ilvl w:val="0"/>
          <w:numId w:val="36"/>
        </w:numPr>
        <w:spacing w:after="0" w:line="276" w:lineRule="auto"/>
      </w:pPr>
      <w:r w:rsidRPr="0037797A">
        <w:t>The normal load for summer teaching is six credit hours.  The maximum base compensation for teaching a six-hour load during the Summer Semester is $12,500.</w:t>
      </w:r>
    </w:p>
    <w:p w14:paraId="0517964A" w14:textId="77777777" w:rsidR="0037797A" w:rsidRPr="0037797A" w:rsidRDefault="0037797A" w:rsidP="0037797A">
      <w:pPr>
        <w:pStyle w:val="ListParagraph"/>
        <w:numPr>
          <w:ilvl w:val="0"/>
          <w:numId w:val="36"/>
        </w:numPr>
        <w:spacing w:after="0" w:line="276" w:lineRule="auto"/>
      </w:pPr>
      <w:r w:rsidRPr="0037797A">
        <w:t>Salary for teaching up to six in-load credit hours during the Summer Semester is as follows:</w:t>
      </w:r>
    </w:p>
    <w:p w14:paraId="74ED4A01" w14:textId="77777777" w:rsidR="0037797A" w:rsidRPr="0037797A" w:rsidRDefault="0037797A" w:rsidP="0037797A">
      <w:pPr>
        <w:pStyle w:val="ListParagraph"/>
        <w:spacing w:after="0"/>
        <w:ind w:left="1440"/>
      </w:pPr>
      <w:r w:rsidRPr="0037797A">
        <w:t>Three hours:</w:t>
      </w:r>
      <w:r w:rsidRPr="0037797A">
        <w:tab/>
        <w:t>7.5% of nine-month salary</w:t>
      </w:r>
    </w:p>
    <w:p w14:paraId="4E3D003F" w14:textId="77777777" w:rsidR="0037797A" w:rsidRPr="0037797A" w:rsidRDefault="0037797A" w:rsidP="0037797A">
      <w:pPr>
        <w:pStyle w:val="ListParagraph"/>
        <w:spacing w:after="0"/>
        <w:ind w:left="1440"/>
      </w:pPr>
      <w:r w:rsidRPr="0037797A">
        <w:t>Four hours:</w:t>
      </w:r>
      <w:r w:rsidRPr="0037797A">
        <w:tab/>
        <w:t>4/6 of 15% of nine-month salary</w:t>
      </w:r>
    </w:p>
    <w:p w14:paraId="153F62B5" w14:textId="77777777" w:rsidR="0037797A" w:rsidRPr="0037797A" w:rsidRDefault="0037797A" w:rsidP="0037797A">
      <w:pPr>
        <w:pStyle w:val="ListParagraph"/>
        <w:spacing w:after="0"/>
        <w:ind w:left="1440"/>
      </w:pPr>
      <w:r w:rsidRPr="0037797A">
        <w:t>Five hours:</w:t>
      </w:r>
      <w:r w:rsidRPr="0037797A">
        <w:tab/>
        <w:t>5/6 of 15% of nine-month salary</w:t>
      </w:r>
    </w:p>
    <w:p w14:paraId="3BBA69DC" w14:textId="77777777" w:rsidR="0037797A" w:rsidRPr="0037797A" w:rsidRDefault="0037797A" w:rsidP="0037797A">
      <w:pPr>
        <w:pStyle w:val="ListParagraph"/>
        <w:spacing w:after="0"/>
        <w:ind w:left="1440"/>
      </w:pPr>
      <w:r w:rsidRPr="0037797A">
        <w:t>Six hours:</w:t>
      </w:r>
      <w:r w:rsidRPr="0037797A">
        <w:tab/>
        <w:t>15% of nine-month salary (not to exceed $12,500)</w:t>
      </w:r>
    </w:p>
    <w:p w14:paraId="797BE7EC" w14:textId="77777777" w:rsidR="0037797A" w:rsidRPr="0037797A" w:rsidRDefault="0037797A" w:rsidP="0037797A">
      <w:pPr>
        <w:pStyle w:val="ListParagraph"/>
        <w:numPr>
          <w:ilvl w:val="0"/>
          <w:numId w:val="36"/>
        </w:numPr>
        <w:spacing w:after="0" w:line="276" w:lineRule="auto"/>
      </w:pPr>
      <w:r w:rsidRPr="0037797A">
        <w:t xml:space="preserve">Any courses </w:t>
      </w:r>
      <w:proofErr w:type="gramStart"/>
      <w:r w:rsidRPr="0037797A">
        <w:t>in excess of</w:t>
      </w:r>
      <w:proofErr w:type="gramEnd"/>
      <w:r w:rsidRPr="0037797A">
        <w:t xml:space="preserve"> six hours taught in the summer by a regular faculty member will be considered overload.  Compensation for these courses will be in accordance with Appendix A of this policy.</w:t>
      </w:r>
    </w:p>
    <w:p w14:paraId="217D421F" w14:textId="77777777" w:rsidR="0037797A" w:rsidRPr="0037797A" w:rsidRDefault="0037797A" w:rsidP="0037797A">
      <w:pPr>
        <w:pStyle w:val="ListParagraph"/>
        <w:numPr>
          <w:ilvl w:val="0"/>
          <w:numId w:val="36"/>
        </w:numPr>
        <w:spacing w:after="0" w:line="276" w:lineRule="auto"/>
      </w:pPr>
      <w:r w:rsidRPr="0037797A">
        <w:t>Summer Semester teaching by regular faculty should not exceed nine hours.</w:t>
      </w:r>
    </w:p>
    <w:p w14:paraId="5D5E5CA0" w14:textId="77777777" w:rsidR="0037797A" w:rsidRPr="0037797A" w:rsidRDefault="0037797A" w:rsidP="0037797A">
      <w:pPr>
        <w:pStyle w:val="ListParagraph"/>
        <w:numPr>
          <w:ilvl w:val="0"/>
          <w:numId w:val="36"/>
        </w:numPr>
        <w:spacing w:after="0" w:line="276" w:lineRule="auto"/>
      </w:pPr>
      <w:r w:rsidRPr="0037797A">
        <w:t>Summer Semester teaching for adjunct faculty will not exceed six hours.  Exceptions must be approved in advance by the Office of Human Resource Management.</w:t>
      </w:r>
    </w:p>
    <w:p w14:paraId="08145D44" w14:textId="77777777" w:rsidR="0037797A" w:rsidRPr="0037797A" w:rsidRDefault="0037797A" w:rsidP="0037797A">
      <w:pPr>
        <w:pStyle w:val="ListParagraph"/>
        <w:numPr>
          <w:ilvl w:val="0"/>
          <w:numId w:val="36"/>
        </w:numPr>
        <w:spacing w:after="0" w:line="276" w:lineRule="auto"/>
      </w:pPr>
      <w:r w:rsidRPr="0037797A">
        <w:t>A course that does not meet minimum enrollment as determined by the Provost and Vice Chancellor for Academic Affairs may be taught at reduced compensation (see Appendix C2)</w:t>
      </w:r>
    </w:p>
    <w:p w14:paraId="104AA5D7" w14:textId="77777777" w:rsidR="0037797A" w:rsidRPr="0037797A" w:rsidRDefault="0037797A" w:rsidP="0037797A">
      <w:pPr>
        <w:pStyle w:val="ListParagraph"/>
        <w:numPr>
          <w:ilvl w:val="0"/>
          <w:numId w:val="36"/>
        </w:numPr>
        <w:spacing w:after="0" w:line="276" w:lineRule="auto"/>
      </w:pPr>
      <w:r w:rsidRPr="0037797A">
        <w:t>Faculty teaching large classes are eligible for additional compensation per Appendix D of this policy.</w:t>
      </w:r>
    </w:p>
    <w:p w14:paraId="1AC8DC0F" w14:textId="77777777" w:rsidR="0037797A" w:rsidRDefault="0037797A" w:rsidP="0037797A">
      <w:pPr>
        <w:pStyle w:val="ListParagraph"/>
        <w:numPr>
          <w:ilvl w:val="0"/>
          <w:numId w:val="36"/>
        </w:numPr>
        <w:spacing w:after="0" w:line="276" w:lineRule="auto"/>
      </w:pPr>
      <w:r w:rsidRPr="0037797A">
        <w:t>For part-time faculty appointed at less than 100% effort, summer compensation will be calculated using the individual’s full time equivalent (FTE) annual salary rather than their prorated part time salary. This ensures compensation aligns with the instructional workload rather than the academic year appointment percentage.</w:t>
      </w:r>
    </w:p>
    <w:p w14:paraId="0E8FE7CA" w14:textId="77777777" w:rsidR="003B00F3" w:rsidRDefault="003B00F3" w:rsidP="003B00F3">
      <w:pPr>
        <w:pStyle w:val="ListParagraph"/>
        <w:spacing w:after="0" w:line="276" w:lineRule="auto"/>
        <w:ind w:left="720"/>
      </w:pPr>
    </w:p>
    <w:p w14:paraId="4D33093F" w14:textId="77777777" w:rsidR="00813A36" w:rsidRDefault="00813A36" w:rsidP="003B00F3">
      <w:pPr>
        <w:pStyle w:val="ListParagraph"/>
        <w:spacing w:after="0" w:line="276" w:lineRule="auto"/>
        <w:ind w:left="720"/>
      </w:pPr>
    </w:p>
    <w:p w14:paraId="428A4907" w14:textId="77777777" w:rsidR="00813A36" w:rsidRDefault="00813A36" w:rsidP="003B00F3">
      <w:pPr>
        <w:pStyle w:val="ListParagraph"/>
        <w:spacing w:after="0" w:line="276" w:lineRule="auto"/>
        <w:ind w:left="720"/>
      </w:pPr>
    </w:p>
    <w:p w14:paraId="4C8DC2BB" w14:textId="77777777" w:rsidR="00813A36" w:rsidRDefault="00813A36" w:rsidP="003B00F3">
      <w:pPr>
        <w:pStyle w:val="ListParagraph"/>
        <w:spacing w:after="0" w:line="276" w:lineRule="auto"/>
        <w:ind w:left="720"/>
      </w:pPr>
    </w:p>
    <w:p w14:paraId="0BCFF0AA" w14:textId="77777777" w:rsidR="00813A36" w:rsidRDefault="00813A36" w:rsidP="003B00F3">
      <w:pPr>
        <w:pStyle w:val="ListParagraph"/>
        <w:spacing w:after="0" w:line="276" w:lineRule="auto"/>
        <w:ind w:left="720"/>
      </w:pPr>
    </w:p>
    <w:p w14:paraId="7F433F60" w14:textId="77777777" w:rsidR="00813A36" w:rsidRDefault="00813A36" w:rsidP="003B00F3">
      <w:pPr>
        <w:pStyle w:val="ListParagraph"/>
        <w:spacing w:after="0" w:line="276" w:lineRule="auto"/>
        <w:ind w:left="720"/>
      </w:pPr>
    </w:p>
    <w:p w14:paraId="17DEB530" w14:textId="77777777" w:rsidR="00813A36" w:rsidRDefault="00813A36" w:rsidP="003B00F3">
      <w:pPr>
        <w:pStyle w:val="ListParagraph"/>
        <w:spacing w:after="0" w:line="276" w:lineRule="auto"/>
        <w:ind w:left="720"/>
      </w:pPr>
    </w:p>
    <w:p w14:paraId="19C7734B" w14:textId="77777777" w:rsidR="00813A36" w:rsidRDefault="00813A36" w:rsidP="003B00F3">
      <w:pPr>
        <w:pStyle w:val="ListParagraph"/>
        <w:spacing w:after="0" w:line="276" w:lineRule="auto"/>
        <w:ind w:left="720"/>
      </w:pPr>
    </w:p>
    <w:p w14:paraId="6331FD49" w14:textId="77777777" w:rsidR="003B00F3" w:rsidRPr="0037797A" w:rsidRDefault="003B00F3" w:rsidP="003B00F3">
      <w:pPr>
        <w:pStyle w:val="ListParagraph"/>
        <w:spacing w:after="0" w:line="276" w:lineRule="auto"/>
        <w:ind w:left="720"/>
      </w:pPr>
    </w:p>
    <w:p w14:paraId="759E4261" w14:textId="26101FAD" w:rsidR="0040458B" w:rsidRPr="0040458B" w:rsidRDefault="0040458B" w:rsidP="0040458B">
      <w:pPr>
        <w:spacing w:after="0"/>
        <w:rPr>
          <w:b/>
          <w:bCs/>
          <w:color w:val="461D7C"/>
        </w:rPr>
      </w:pPr>
      <w:r w:rsidRPr="0040458B">
        <w:rPr>
          <w:b/>
          <w:bCs/>
          <w:color w:val="461D7C"/>
        </w:rPr>
        <w:lastRenderedPageBreak/>
        <w:t>APPENDIX C1 to LSUS Policy Statement 2.33.0</w:t>
      </w:r>
      <w:r>
        <w:rPr>
          <w:b/>
          <w:bCs/>
          <w:color w:val="461D7C"/>
        </w:rPr>
        <w:t>5</w:t>
      </w:r>
    </w:p>
    <w:p w14:paraId="13DB0D61" w14:textId="53656D43" w:rsidR="0037797A" w:rsidRDefault="0040458B" w:rsidP="0040458B">
      <w:pPr>
        <w:spacing w:after="0"/>
        <w:rPr>
          <w:b/>
          <w:bCs/>
          <w:color w:val="461D7C"/>
        </w:rPr>
      </w:pPr>
      <w:r w:rsidRPr="0040458B">
        <w:rPr>
          <w:b/>
          <w:bCs/>
          <w:color w:val="461D7C"/>
        </w:rPr>
        <w:t>LOW ENROLLMENT OPTION AGREEMENT FOR FALL/SPRING ADJUNCT PAY</w:t>
      </w:r>
    </w:p>
    <w:p w14:paraId="203E63E0" w14:textId="77777777" w:rsidR="0040458B" w:rsidRDefault="0040458B" w:rsidP="0040458B">
      <w:pPr>
        <w:spacing w:after="0"/>
        <w:rPr>
          <w:b/>
          <w:bCs/>
          <w:color w:val="461D7C"/>
        </w:rPr>
      </w:pPr>
    </w:p>
    <w:p w14:paraId="7E0A53E0" w14:textId="77777777" w:rsidR="00303032" w:rsidRPr="002D0E27" w:rsidRDefault="00303032" w:rsidP="00303032">
      <w:pPr>
        <w:spacing w:after="0"/>
        <w:rPr>
          <w:b/>
        </w:rPr>
      </w:pPr>
      <w:r w:rsidRPr="002D0E27">
        <w:rPr>
          <w:b/>
        </w:rPr>
        <w:t>AGREEMENT</w:t>
      </w:r>
    </w:p>
    <w:p w14:paraId="6D40BB46" w14:textId="624C07BC" w:rsidR="00303032" w:rsidRPr="00343056" w:rsidRDefault="00303032" w:rsidP="00303032">
      <w:pPr>
        <w:spacing w:after="0"/>
        <w:rPr>
          <w:bCs/>
        </w:rPr>
      </w:pPr>
      <w:r w:rsidRPr="002D0E27">
        <w:rPr>
          <w:bCs/>
        </w:rPr>
        <w:t>The purpose of this statement is to confirm my understanding of the impact of low enrollment numbers on classes I may agree to teach as an adjunct.</w:t>
      </w:r>
    </w:p>
    <w:p w14:paraId="675D52DB" w14:textId="77777777" w:rsidR="00303032" w:rsidRDefault="00303032" w:rsidP="00303032">
      <w:pPr>
        <w:spacing w:after="0"/>
        <w:rPr>
          <w:b/>
        </w:rPr>
      </w:pPr>
    </w:p>
    <w:p w14:paraId="02408117" w14:textId="10B7EE09" w:rsidR="00303032" w:rsidRPr="00CF0016" w:rsidRDefault="00303032" w:rsidP="00303032">
      <w:pPr>
        <w:spacing w:after="0"/>
      </w:pPr>
      <w:r w:rsidRPr="00CF0016">
        <w:t xml:space="preserve">Due to low course enrollment, I voluntarily agree to </w:t>
      </w:r>
      <w:proofErr w:type="gramStart"/>
      <w:r w:rsidRPr="00CF0016">
        <w:t xml:space="preserve">teach </w:t>
      </w:r>
      <w:r>
        <w:t>_</w:t>
      </w:r>
      <w:r w:rsidRPr="00CF0016">
        <w:t>_</w:t>
      </w:r>
      <w:proofErr w:type="gramEnd"/>
      <w:r w:rsidRPr="00CF0016">
        <w:t xml:space="preserve">_______ (course prefix and reference number) at a lower rate of pay during ______ semester. The range and </w:t>
      </w:r>
      <w:r>
        <w:t>specific</w:t>
      </w:r>
      <w:r w:rsidRPr="00CF0016">
        <w:t xml:space="preserve"> amount will be determined by the Dean and Vice Chancellor for Academic Affairs.</w:t>
      </w:r>
    </w:p>
    <w:p w14:paraId="7FA5078C" w14:textId="77777777" w:rsidR="00303032" w:rsidRPr="00CF0016" w:rsidRDefault="00303032" w:rsidP="00303032">
      <w:pPr>
        <w:spacing w:after="0"/>
      </w:pPr>
    </w:p>
    <w:p w14:paraId="791F8EE7" w14:textId="77777777" w:rsidR="00303032" w:rsidRPr="00AA3F12" w:rsidRDefault="00303032" w:rsidP="00303032">
      <w:pPr>
        <w:spacing w:after="0"/>
      </w:pPr>
      <w:r w:rsidRPr="00CF0016">
        <w:t>The rate of pay will be __________.</w:t>
      </w:r>
      <w:r w:rsidRPr="00AA3F12">
        <w:t xml:space="preserve"> </w:t>
      </w:r>
    </w:p>
    <w:p w14:paraId="4ABA2D3A" w14:textId="77777777" w:rsidR="00303032" w:rsidRPr="00AA3F12" w:rsidRDefault="00303032" w:rsidP="00303032">
      <w:pPr>
        <w:spacing w:after="0"/>
      </w:pPr>
    </w:p>
    <w:p w14:paraId="6365E6E8" w14:textId="77777777" w:rsidR="00303032" w:rsidRPr="00AA3F12" w:rsidRDefault="00303032" w:rsidP="00303032">
      <w:pPr>
        <w:spacing w:after="0"/>
      </w:pPr>
      <w:r w:rsidRPr="00AA3F12">
        <w:t>______________________________</w:t>
      </w:r>
      <w:r w:rsidRPr="00AA3F12">
        <w:tab/>
      </w:r>
      <w:r w:rsidRPr="00AA3F12">
        <w:tab/>
      </w:r>
      <w:r w:rsidRPr="00AA3F12">
        <w:tab/>
      </w:r>
    </w:p>
    <w:p w14:paraId="57582E24" w14:textId="77777777" w:rsidR="00303032" w:rsidRPr="00AA3F12" w:rsidRDefault="00303032" w:rsidP="00303032">
      <w:pPr>
        <w:spacing w:after="0"/>
      </w:pPr>
      <w:r w:rsidRPr="00AA3F12">
        <w:t>Employee Printed Name</w:t>
      </w:r>
      <w:r w:rsidRPr="00AA3F12">
        <w:tab/>
      </w:r>
      <w:r w:rsidRPr="00AA3F12">
        <w:tab/>
      </w:r>
      <w:r w:rsidRPr="00AA3F12">
        <w:tab/>
      </w:r>
      <w:r w:rsidRPr="00AA3F12">
        <w:tab/>
      </w:r>
    </w:p>
    <w:p w14:paraId="6CEF0F70" w14:textId="77777777" w:rsidR="00303032" w:rsidRPr="00AA3F12" w:rsidRDefault="00303032" w:rsidP="00303032">
      <w:pPr>
        <w:spacing w:after="0"/>
      </w:pPr>
    </w:p>
    <w:p w14:paraId="2A303F43" w14:textId="0059F243" w:rsidR="00303032" w:rsidRPr="00AA3F12" w:rsidRDefault="00303032" w:rsidP="00303032">
      <w:pPr>
        <w:spacing w:after="0"/>
      </w:pPr>
      <w:r>
        <w:t>________________________________________________</w:t>
      </w:r>
      <w:r w:rsidRPr="00AA3F12">
        <w:t>_______________</w:t>
      </w:r>
    </w:p>
    <w:p w14:paraId="17F7C5AF" w14:textId="2959F206" w:rsidR="00303032" w:rsidRPr="00AA3F12" w:rsidRDefault="00303032" w:rsidP="00303032">
      <w:pPr>
        <w:spacing w:after="0"/>
      </w:pPr>
      <w:r w:rsidRPr="00AA3F12">
        <w:t>Employee Signature</w:t>
      </w:r>
      <w:r w:rsidRPr="00AA3F12">
        <w:tab/>
      </w:r>
      <w:r w:rsidRPr="00AA3F12">
        <w:tab/>
      </w:r>
      <w:r w:rsidRPr="00AA3F12">
        <w:tab/>
      </w:r>
      <w:r w:rsidRPr="00AA3F12">
        <w:tab/>
      </w:r>
      <w:r w:rsidRPr="00AA3F12">
        <w:tab/>
        <w:t>Date</w:t>
      </w:r>
    </w:p>
    <w:p w14:paraId="176783F9" w14:textId="77777777" w:rsidR="00303032" w:rsidRPr="00AA3F12" w:rsidRDefault="00303032" w:rsidP="00303032">
      <w:pPr>
        <w:spacing w:after="0"/>
      </w:pPr>
    </w:p>
    <w:p w14:paraId="793EA02D" w14:textId="720D63DA" w:rsidR="00303032" w:rsidRPr="00AA3F12" w:rsidRDefault="00303032" w:rsidP="00303032">
      <w:pPr>
        <w:spacing w:after="0"/>
      </w:pPr>
      <w:r w:rsidRPr="00AA3F12">
        <w:t>______________________________</w:t>
      </w:r>
      <w:r>
        <w:t>__________________</w:t>
      </w:r>
      <w:r w:rsidRPr="00AA3F12">
        <w:t>_______________</w:t>
      </w:r>
    </w:p>
    <w:p w14:paraId="7293CB71" w14:textId="77777777" w:rsidR="00303032" w:rsidRPr="00AA3F12" w:rsidRDefault="00303032" w:rsidP="00303032">
      <w:pPr>
        <w:spacing w:after="0"/>
      </w:pPr>
      <w:r w:rsidRPr="00AA3F12">
        <w:t>Dean Signature</w:t>
      </w:r>
      <w:r w:rsidRPr="00AA3F12">
        <w:tab/>
      </w:r>
      <w:r w:rsidRPr="00AA3F12">
        <w:tab/>
      </w:r>
      <w:r w:rsidRPr="00AA3F12">
        <w:tab/>
      </w:r>
      <w:r w:rsidRPr="00AA3F12">
        <w:tab/>
      </w:r>
      <w:r w:rsidRPr="00AA3F12">
        <w:tab/>
      </w:r>
      <w:r w:rsidRPr="00AA3F12">
        <w:tab/>
        <w:t>Date</w:t>
      </w:r>
    </w:p>
    <w:p w14:paraId="2AF099E0" w14:textId="77777777" w:rsidR="00303032" w:rsidRPr="00AA3F12" w:rsidRDefault="00303032" w:rsidP="00303032">
      <w:pPr>
        <w:spacing w:after="0"/>
      </w:pPr>
    </w:p>
    <w:p w14:paraId="6B4BE889" w14:textId="704F32BA" w:rsidR="00303032" w:rsidRPr="00AA3F12" w:rsidRDefault="00303032" w:rsidP="00303032">
      <w:pPr>
        <w:spacing w:after="0"/>
      </w:pPr>
      <w:r w:rsidRPr="00AA3F12">
        <w:t>______________________________</w:t>
      </w:r>
      <w:r>
        <w:t>__________________</w:t>
      </w:r>
      <w:r w:rsidRPr="00AA3F12">
        <w:t>_______________</w:t>
      </w:r>
    </w:p>
    <w:p w14:paraId="5A24B885" w14:textId="77777777" w:rsidR="00303032" w:rsidRPr="00AA3F12" w:rsidRDefault="00303032" w:rsidP="00303032">
      <w:pPr>
        <w:spacing w:after="0"/>
      </w:pPr>
      <w:r w:rsidRPr="00AA3F12">
        <w:t>Vice Chancellor for Academic Affairs Signature</w:t>
      </w:r>
      <w:r w:rsidRPr="00AA3F12">
        <w:tab/>
      </w:r>
      <w:r w:rsidRPr="00AA3F12">
        <w:tab/>
        <w:t>Date</w:t>
      </w:r>
    </w:p>
    <w:p w14:paraId="4DC79DC2" w14:textId="77777777" w:rsidR="00303032" w:rsidRDefault="00303032" w:rsidP="00303032">
      <w:pPr>
        <w:spacing w:after="0"/>
        <w:rPr>
          <w:color w:val="2F5597"/>
        </w:rPr>
      </w:pPr>
    </w:p>
    <w:p w14:paraId="7DFBF457" w14:textId="77777777" w:rsidR="00303032" w:rsidRPr="00776B02" w:rsidRDefault="00303032" w:rsidP="00303032">
      <w:pPr>
        <w:spacing w:after="0"/>
        <w:rPr>
          <w:b/>
        </w:rPr>
      </w:pPr>
    </w:p>
    <w:p w14:paraId="45D997C7" w14:textId="77777777" w:rsidR="00303032" w:rsidRDefault="00303032" w:rsidP="00303032">
      <w:pPr>
        <w:spacing w:after="0"/>
        <w:rPr>
          <w:b/>
        </w:rPr>
      </w:pPr>
    </w:p>
    <w:p w14:paraId="2BEE777D" w14:textId="77777777" w:rsidR="00303032" w:rsidRDefault="00303032" w:rsidP="00303032">
      <w:pPr>
        <w:spacing w:after="0"/>
        <w:rPr>
          <w:b/>
        </w:rPr>
      </w:pPr>
    </w:p>
    <w:p w14:paraId="766AC262" w14:textId="77777777" w:rsidR="00303032" w:rsidRDefault="00303032" w:rsidP="00303032">
      <w:pPr>
        <w:spacing w:after="0"/>
        <w:rPr>
          <w:b/>
        </w:rPr>
      </w:pPr>
      <w:r>
        <w:rPr>
          <w:b/>
        </w:rPr>
        <w:t>THIS DOCUMENT MUST BE SUBMITTED TO THE OFFICE OF HUMAN RESOURCE MANAGEMENT FOR PAYROLL PROCESSING.</w:t>
      </w:r>
    </w:p>
    <w:p w14:paraId="6D550906" w14:textId="77777777" w:rsidR="00813A36" w:rsidRDefault="00813A36" w:rsidP="00303032">
      <w:pPr>
        <w:spacing w:after="0"/>
        <w:rPr>
          <w:b/>
        </w:rPr>
      </w:pPr>
    </w:p>
    <w:p w14:paraId="54A9CC73" w14:textId="77777777" w:rsidR="00813A36" w:rsidRDefault="00813A36" w:rsidP="00303032">
      <w:pPr>
        <w:spacing w:after="0"/>
        <w:rPr>
          <w:b/>
        </w:rPr>
      </w:pPr>
    </w:p>
    <w:p w14:paraId="7717354E" w14:textId="77777777" w:rsidR="00813A36" w:rsidRDefault="00813A36" w:rsidP="00303032">
      <w:pPr>
        <w:spacing w:after="0"/>
        <w:rPr>
          <w:b/>
        </w:rPr>
      </w:pPr>
    </w:p>
    <w:p w14:paraId="4C0BC773" w14:textId="77777777" w:rsidR="00813A36" w:rsidRDefault="00813A36" w:rsidP="00303032">
      <w:pPr>
        <w:spacing w:after="0"/>
        <w:rPr>
          <w:b/>
        </w:rPr>
      </w:pPr>
    </w:p>
    <w:p w14:paraId="4A6355B4" w14:textId="77777777" w:rsidR="00813A36" w:rsidRDefault="00813A36" w:rsidP="00303032">
      <w:pPr>
        <w:spacing w:after="0"/>
        <w:rPr>
          <w:b/>
        </w:rPr>
      </w:pPr>
    </w:p>
    <w:p w14:paraId="09679B14" w14:textId="77777777" w:rsidR="00813A36" w:rsidRDefault="00813A36" w:rsidP="00303032">
      <w:pPr>
        <w:spacing w:after="0"/>
        <w:rPr>
          <w:b/>
        </w:rPr>
      </w:pPr>
    </w:p>
    <w:p w14:paraId="46B502DB" w14:textId="77777777" w:rsidR="00813A36" w:rsidRDefault="00813A36" w:rsidP="00303032">
      <w:pPr>
        <w:spacing w:after="0"/>
        <w:rPr>
          <w:b/>
        </w:rPr>
      </w:pPr>
    </w:p>
    <w:p w14:paraId="1410B2D9" w14:textId="113CD374" w:rsidR="00CF3799" w:rsidRPr="00CF3799" w:rsidRDefault="00CF3799" w:rsidP="00CF3799">
      <w:pPr>
        <w:spacing w:after="0"/>
        <w:rPr>
          <w:b/>
          <w:bCs/>
          <w:color w:val="461D7C"/>
        </w:rPr>
      </w:pPr>
      <w:r w:rsidRPr="00CF3799">
        <w:rPr>
          <w:b/>
          <w:bCs/>
          <w:color w:val="461D7C"/>
        </w:rPr>
        <w:lastRenderedPageBreak/>
        <w:t>APPENDIX C2 to LSUS Policy Statement 2.33.0</w:t>
      </w:r>
      <w:r>
        <w:rPr>
          <w:b/>
          <w:bCs/>
          <w:color w:val="461D7C"/>
        </w:rPr>
        <w:t>5</w:t>
      </w:r>
    </w:p>
    <w:p w14:paraId="6DB88C49" w14:textId="5FA9FCC1" w:rsidR="006C3921" w:rsidRDefault="00CF3799" w:rsidP="00CF3799">
      <w:pPr>
        <w:spacing w:after="0"/>
        <w:rPr>
          <w:b/>
          <w:bCs/>
          <w:color w:val="461D7C"/>
        </w:rPr>
      </w:pPr>
      <w:r w:rsidRPr="00CF3799">
        <w:rPr>
          <w:b/>
          <w:bCs/>
          <w:color w:val="461D7C"/>
        </w:rPr>
        <w:t>LOW ENROLLMENT OPTION AGREEMENT FOR SUMMER</w:t>
      </w:r>
    </w:p>
    <w:p w14:paraId="49F2487C" w14:textId="77777777" w:rsidR="00CF3799" w:rsidRDefault="00CF3799" w:rsidP="00CF3799">
      <w:pPr>
        <w:spacing w:after="0"/>
        <w:rPr>
          <w:b/>
          <w:bCs/>
          <w:color w:val="461D7C"/>
        </w:rPr>
      </w:pPr>
    </w:p>
    <w:p w14:paraId="00B4B370" w14:textId="77777777" w:rsidR="00772927" w:rsidRPr="002D0E27" w:rsidRDefault="00772927" w:rsidP="00772927">
      <w:pPr>
        <w:spacing w:after="0"/>
        <w:rPr>
          <w:b/>
        </w:rPr>
      </w:pPr>
      <w:r w:rsidRPr="002D0E27">
        <w:rPr>
          <w:b/>
        </w:rPr>
        <w:t>AGREEMENT</w:t>
      </w:r>
    </w:p>
    <w:p w14:paraId="2F54802B" w14:textId="02515A10" w:rsidR="00772927" w:rsidRPr="002D0E27" w:rsidRDefault="00772927" w:rsidP="00772927">
      <w:pPr>
        <w:spacing w:after="0"/>
      </w:pPr>
      <w:r w:rsidRPr="002D0E27">
        <w:t xml:space="preserve">The purpose of this statement is to confirm my understanding of the impact of </w:t>
      </w:r>
      <w:r w:rsidR="00A80783" w:rsidRPr="002D0E27">
        <w:t>low enrollment</w:t>
      </w:r>
      <w:r w:rsidRPr="002D0E27">
        <w:t xml:space="preserve"> numbers on the regular summer school pay </w:t>
      </w:r>
      <w:r w:rsidR="00426EF7" w:rsidRPr="002D0E27">
        <w:t>schedule:</w:t>
      </w:r>
    </w:p>
    <w:p w14:paraId="57C5B91A" w14:textId="77777777" w:rsidR="00772927" w:rsidRPr="002D0E27" w:rsidRDefault="00772927" w:rsidP="00772927">
      <w:pPr>
        <w:spacing w:after="0"/>
        <w:rPr>
          <w:b/>
        </w:rPr>
      </w:pPr>
    </w:p>
    <w:p w14:paraId="575B0AB9" w14:textId="77777777" w:rsidR="00772927" w:rsidRPr="00813A36" w:rsidRDefault="00772927" w:rsidP="00772927">
      <w:pPr>
        <w:spacing w:after="0"/>
        <w:rPr>
          <w:bCs/>
        </w:rPr>
      </w:pPr>
      <w:r w:rsidRPr="00813A36">
        <w:rPr>
          <w:bCs/>
        </w:rPr>
        <w:t>Regular Compensation:</w:t>
      </w:r>
    </w:p>
    <w:p w14:paraId="5AB74F7F" w14:textId="77777777" w:rsidR="00772927" w:rsidRPr="002D0E27" w:rsidRDefault="00772927" w:rsidP="00772927">
      <w:pPr>
        <w:spacing w:after="0"/>
      </w:pPr>
      <w:r w:rsidRPr="002D0E27">
        <w:rPr>
          <w:b/>
        </w:rPr>
        <w:tab/>
      </w:r>
      <w:r w:rsidRPr="002D0E27">
        <w:t>One three-hour course:</w:t>
      </w:r>
      <w:r w:rsidRPr="002D0E27">
        <w:tab/>
        <w:t>payment is 7.5% of academic salary</w:t>
      </w:r>
    </w:p>
    <w:p w14:paraId="45719161" w14:textId="77777777" w:rsidR="00772927" w:rsidRPr="002D0E27" w:rsidRDefault="00772927" w:rsidP="00772927">
      <w:pPr>
        <w:spacing w:after="0"/>
        <w:ind w:left="720" w:hanging="720"/>
      </w:pPr>
      <w:r w:rsidRPr="002D0E27">
        <w:tab/>
        <w:t>Two three-hour courses:</w:t>
      </w:r>
      <w:r w:rsidRPr="002D0E27">
        <w:tab/>
        <w:t>payment is 15% of academic salary (capped at</w:t>
      </w:r>
    </w:p>
    <w:p w14:paraId="30E312B3" w14:textId="77777777" w:rsidR="00772927" w:rsidRPr="002D0E27" w:rsidRDefault="00772927" w:rsidP="00772927">
      <w:pPr>
        <w:spacing w:after="0"/>
        <w:ind w:left="2880" w:firstLine="720"/>
      </w:pPr>
      <w:r w:rsidRPr="002D0E27">
        <w:t>$12,500)</w:t>
      </w:r>
    </w:p>
    <w:p w14:paraId="12513C6A" w14:textId="77777777" w:rsidR="00772927" w:rsidRPr="002D0E27" w:rsidRDefault="00772927" w:rsidP="00772927">
      <w:pPr>
        <w:spacing w:after="0"/>
      </w:pPr>
      <w:r w:rsidRPr="002D0E27">
        <w:t>Additional three-hour course payment is per LSUS Policy Statement 2.33.01.</w:t>
      </w:r>
    </w:p>
    <w:p w14:paraId="51876AC0" w14:textId="77777777" w:rsidR="00772927" w:rsidRPr="002D0E27" w:rsidRDefault="00772927" w:rsidP="00772927">
      <w:pPr>
        <w:spacing w:after="0"/>
      </w:pPr>
    </w:p>
    <w:p w14:paraId="53172316" w14:textId="77777777" w:rsidR="00772927" w:rsidRPr="002D0E27" w:rsidRDefault="00772927" w:rsidP="00772927">
      <w:pPr>
        <w:spacing w:after="0"/>
      </w:pPr>
      <w:r w:rsidRPr="002D0E27">
        <w:t xml:space="preserve">Compensation for a course that does not meet minimum enrollment as determined by the Provost will be reduced by 10% per student under that minimum. </w:t>
      </w:r>
    </w:p>
    <w:p w14:paraId="39A9ECF1" w14:textId="77777777" w:rsidR="00772927" w:rsidRPr="002D0E27" w:rsidRDefault="00772927" w:rsidP="00772927">
      <w:pPr>
        <w:spacing w:after="0"/>
      </w:pPr>
    </w:p>
    <w:p w14:paraId="46F3AD3F" w14:textId="77777777" w:rsidR="00772927" w:rsidRPr="002D0E27" w:rsidRDefault="00772927" w:rsidP="00772927">
      <w:pPr>
        <w:spacing w:after="0"/>
      </w:pPr>
    </w:p>
    <w:p w14:paraId="6FAB4F5A" w14:textId="77777777" w:rsidR="00772927" w:rsidRPr="002D0E27" w:rsidRDefault="00772927" w:rsidP="00772927">
      <w:pPr>
        <w:spacing w:after="0"/>
      </w:pPr>
    </w:p>
    <w:p w14:paraId="1A102BEE" w14:textId="234E7AAD" w:rsidR="00772927" w:rsidRPr="00813A36" w:rsidRDefault="00813A36" w:rsidP="00772927">
      <w:pPr>
        <w:spacing w:after="0"/>
        <w:rPr>
          <w:b/>
          <w:bCs/>
        </w:rPr>
      </w:pPr>
      <w:r w:rsidRPr="00813A36">
        <w:rPr>
          <w:b/>
          <w:bCs/>
        </w:rPr>
        <w:t>AGREEMENT</w:t>
      </w:r>
    </w:p>
    <w:p w14:paraId="7972033A" w14:textId="77777777" w:rsidR="00772927" w:rsidRPr="002D0E27" w:rsidRDefault="00772927" w:rsidP="00772927">
      <w:pPr>
        <w:spacing w:after="0"/>
      </w:pPr>
    </w:p>
    <w:p w14:paraId="25F2C9FF" w14:textId="77777777" w:rsidR="00772927" w:rsidRPr="002D0E27" w:rsidRDefault="00772927" w:rsidP="00772927">
      <w:pPr>
        <w:spacing w:after="0"/>
      </w:pPr>
    </w:p>
    <w:p w14:paraId="6E3C1446" w14:textId="624F12AE" w:rsidR="00772927" w:rsidRDefault="00772927" w:rsidP="00772927">
      <w:pPr>
        <w:spacing w:after="0"/>
      </w:pPr>
      <w:r w:rsidRPr="002D0E27">
        <w:t xml:space="preserve">I voluntarily agree to teach___ (course prefix and number) at the reduced rate of pay </w:t>
      </w:r>
      <w:proofErr w:type="spellStart"/>
      <w:r w:rsidR="00A80783" w:rsidRPr="002D0E27">
        <w:t>of</w:t>
      </w:r>
      <w:proofErr w:type="spellEnd"/>
      <w:r w:rsidR="00A80783" w:rsidRPr="002D0E27">
        <w:t>_</w:t>
      </w:r>
      <w:r w:rsidRPr="002D0E27">
        <w:t>_______ during Summer _____ (year).</w:t>
      </w:r>
      <w:r>
        <w:t xml:space="preserve">  </w:t>
      </w:r>
    </w:p>
    <w:p w14:paraId="24EFB37B" w14:textId="77777777" w:rsidR="00772927" w:rsidRDefault="00772927" w:rsidP="00772927">
      <w:pPr>
        <w:spacing w:after="0"/>
      </w:pPr>
    </w:p>
    <w:p w14:paraId="1AC54B2E" w14:textId="77777777" w:rsidR="00772927" w:rsidRDefault="00772927" w:rsidP="00772927">
      <w:pPr>
        <w:spacing w:after="0"/>
      </w:pPr>
      <w:r>
        <w:t>______________________________</w:t>
      </w:r>
      <w:r>
        <w:tab/>
      </w:r>
      <w:r>
        <w:tab/>
      </w:r>
      <w:r>
        <w:tab/>
      </w:r>
    </w:p>
    <w:p w14:paraId="1DE1E0DB" w14:textId="77777777" w:rsidR="00772927" w:rsidRDefault="00772927" w:rsidP="00772927">
      <w:pPr>
        <w:spacing w:after="0"/>
      </w:pPr>
      <w:r>
        <w:t>Employee Printed Name</w:t>
      </w:r>
      <w:r>
        <w:tab/>
      </w:r>
      <w:r>
        <w:tab/>
      </w:r>
      <w:r>
        <w:tab/>
      </w:r>
      <w:r>
        <w:tab/>
      </w:r>
    </w:p>
    <w:p w14:paraId="7D7BED6C" w14:textId="77777777" w:rsidR="00772927" w:rsidRDefault="00772927" w:rsidP="00772927">
      <w:pPr>
        <w:spacing w:after="0"/>
      </w:pPr>
    </w:p>
    <w:p w14:paraId="16504D76" w14:textId="63B90E85" w:rsidR="00772927" w:rsidRDefault="00772927" w:rsidP="00772927">
      <w:pPr>
        <w:spacing w:after="0"/>
      </w:pPr>
      <w:r>
        <w:t>_______________________________________________________________</w:t>
      </w:r>
    </w:p>
    <w:p w14:paraId="21B859D9" w14:textId="4A90984E" w:rsidR="00772927" w:rsidRDefault="00772927" w:rsidP="00772927">
      <w:pPr>
        <w:spacing w:after="0"/>
      </w:pPr>
      <w:r>
        <w:t>Employee Signature</w:t>
      </w:r>
      <w:r>
        <w:tab/>
      </w:r>
      <w:r>
        <w:tab/>
      </w:r>
      <w:r>
        <w:tab/>
      </w:r>
      <w:r>
        <w:tab/>
      </w:r>
      <w:r>
        <w:tab/>
        <w:t>Date</w:t>
      </w:r>
    </w:p>
    <w:p w14:paraId="385B933A" w14:textId="77777777" w:rsidR="00772927" w:rsidRDefault="00772927" w:rsidP="00772927">
      <w:pPr>
        <w:spacing w:after="0"/>
      </w:pPr>
    </w:p>
    <w:p w14:paraId="2C2BF728" w14:textId="1292FA94" w:rsidR="00772927" w:rsidRDefault="00772927" w:rsidP="00772927">
      <w:pPr>
        <w:spacing w:after="0"/>
      </w:pPr>
      <w:r>
        <w:t>______________________________</w:t>
      </w:r>
      <w:r w:rsidR="00A80783">
        <w:t>__________________</w:t>
      </w:r>
      <w:r>
        <w:t>_______________</w:t>
      </w:r>
    </w:p>
    <w:p w14:paraId="2DB58044" w14:textId="77777777" w:rsidR="00772927" w:rsidRDefault="00772927" w:rsidP="00772927">
      <w:pPr>
        <w:spacing w:after="0"/>
      </w:pPr>
      <w:r>
        <w:t>Dean Signature</w:t>
      </w:r>
      <w:r>
        <w:tab/>
      </w:r>
      <w:r>
        <w:tab/>
      </w:r>
      <w:r>
        <w:tab/>
      </w:r>
      <w:r>
        <w:tab/>
      </w:r>
      <w:r>
        <w:tab/>
      </w:r>
      <w:r>
        <w:tab/>
        <w:t>Date</w:t>
      </w:r>
    </w:p>
    <w:p w14:paraId="64B07361" w14:textId="77777777" w:rsidR="00813A36" w:rsidRDefault="00813A36" w:rsidP="00772927">
      <w:pPr>
        <w:spacing w:after="0"/>
      </w:pPr>
    </w:p>
    <w:p w14:paraId="3DEFEB58" w14:textId="4C1C80E4" w:rsidR="00772927" w:rsidRDefault="00772927" w:rsidP="00772927">
      <w:pPr>
        <w:spacing w:after="0"/>
      </w:pPr>
      <w:r>
        <w:t>______________________________</w:t>
      </w:r>
      <w:r w:rsidR="00A80783">
        <w:t>__________________</w:t>
      </w:r>
      <w:r>
        <w:t>_______________</w:t>
      </w:r>
    </w:p>
    <w:p w14:paraId="382470C0" w14:textId="77777777" w:rsidR="00772927" w:rsidRDefault="00772927" w:rsidP="00772927">
      <w:pPr>
        <w:spacing w:after="0"/>
      </w:pPr>
      <w:r>
        <w:t>Vice Chancellor for Academic Affairs Signature</w:t>
      </w:r>
      <w:r>
        <w:tab/>
      </w:r>
      <w:r>
        <w:tab/>
        <w:t>Date</w:t>
      </w:r>
    </w:p>
    <w:p w14:paraId="5A12B4B9" w14:textId="77777777" w:rsidR="00772927" w:rsidRDefault="00772927" w:rsidP="00772927">
      <w:pPr>
        <w:spacing w:after="0"/>
        <w:rPr>
          <w:b/>
        </w:rPr>
      </w:pPr>
    </w:p>
    <w:p w14:paraId="6D752A91" w14:textId="4723BE39" w:rsidR="007908EE" w:rsidRDefault="00772927" w:rsidP="00772927">
      <w:pPr>
        <w:spacing w:after="0"/>
        <w:rPr>
          <w:b/>
        </w:rPr>
      </w:pPr>
      <w:r>
        <w:rPr>
          <w:b/>
        </w:rPr>
        <w:t>THIS DOCUMENT MUST BE SUBMITTED TO THE OFFICE OF HUMAN RESOURCE MANAGEMENT FOR PAYROLL PROCESSING.</w:t>
      </w:r>
    </w:p>
    <w:p w14:paraId="2ADFC565" w14:textId="1B92FCC6" w:rsidR="00797C69" w:rsidRPr="00797C69" w:rsidRDefault="00797C69" w:rsidP="00797C69">
      <w:pPr>
        <w:spacing w:after="0"/>
        <w:rPr>
          <w:b/>
          <w:bCs/>
          <w:color w:val="461D7C"/>
        </w:rPr>
      </w:pPr>
      <w:r w:rsidRPr="00797C69">
        <w:rPr>
          <w:b/>
          <w:bCs/>
          <w:color w:val="461D7C"/>
        </w:rPr>
        <w:lastRenderedPageBreak/>
        <w:t>APPENDIX D to LSUS Policy Statement 2.33.0</w:t>
      </w:r>
      <w:r>
        <w:rPr>
          <w:b/>
          <w:bCs/>
          <w:color w:val="461D7C"/>
        </w:rPr>
        <w:t>5</w:t>
      </w:r>
    </w:p>
    <w:p w14:paraId="49AB8745" w14:textId="65A48C54" w:rsidR="00A80783" w:rsidRDefault="00797C69" w:rsidP="00797C69">
      <w:pPr>
        <w:spacing w:after="0"/>
        <w:rPr>
          <w:b/>
          <w:bCs/>
          <w:color w:val="461D7C"/>
        </w:rPr>
      </w:pPr>
      <w:r w:rsidRPr="00797C69">
        <w:rPr>
          <w:b/>
          <w:bCs/>
          <w:color w:val="461D7C"/>
        </w:rPr>
        <w:t>COMPENSATION FOR LARGE CLASSES</w:t>
      </w:r>
    </w:p>
    <w:p w14:paraId="73D21225" w14:textId="77777777" w:rsidR="00797C69" w:rsidRDefault="00797C69" w:rsidP="00797C69">
      <w:pPr>
        <w:spacing w:after="0"/>
        <w:rPr>
          <w:b/>
          <w:bCs/>
          <w:color w:val="461D7C"/>
        </w:rPr>
      </w:pPr>
    </w:p>
    <w:p w14:paraId="6EB6D58B" w14:textId="77777777" w:rsidR="00467B7D" w:rsidRPr="00C9629A" w:rsidRDefault="00467B7D" w:rsidP="00467B7D">
      <w:pPr>
        <w:pStyle w:val="ListParagraph"/>
        <w:numPr>
          <w:ilvl w:val="0"/>
          <w:numId w:val="37"/>
        </w:numPr>
        <w:spacing w:after="0" w:line="276" w:lineRule="auto"/>
      </w:pPr>
      <w:r>
        <w:t>Additional compensation for large classes will be calculated using census day enrollment figures for the session.</w:t>
      </w:r>
    </w:p>
    <w:p w14:paraId="772B22AA" w14:textId="77777777" w:rsidR="00467B7D" w:rsidRDefault="00467B7D" w:rsidP="00467B7D">
      <w:pPr>
        <w:pStyle w:val="ListParagraph"/>
        <w:numPr>
          <w:ilvl w:val="0"/>
          <w:numId w:val="37"/>
        </w:numPr>
        <w:spacing w:after="0" w:line="276" w:lineRule="auto"/>
      </w:pPr>
      <w:r>
        <w:t>For regular faculty, this compensation will be requested on Form PER-3, accompanied by a certified copy of the census day enrollment figures and other relevant documentation.  For adjuncts, this compensation will be requested through an Offer Letter to the adjunct outlining the additional compensation.  Upon receipt of the completed compensation paperwork by the Office of Human Resource Management, payment will be made in a single lump sum payment on the last pay date of the term.</w:t>
      </w:r>
    </w:p>
    <w:p w14:paraId="4CDDC69F" w14:textId="77777777" w:rsidR="00467B7D" w:rsidRDefault="00467B7D" w:rsidP="00467B7D">
      <w:pPr>
        <w:pStyle w:val="ListParagraph"/>
        <w:numPr>
          <w:ilvl w:val="0"/>
          <w:numId w:val="37"/>
        </w:numPr>
        <w:spacing w:after="0" w:line="276" w:lineRule="auto"/>
      </w:pPr>
      <w:r>
        <w:t>The following chart represents additional compensation for large class enrollment.  It is based on a three-credit hour course.  The amount is decreased or increased proportionally for courses with different credit hours (e.g. a one-credit hour course would be 1/3 the amount; a six-credit course would be two times the amount; etc.).</w:t>
      </w:r>
    </w:p>
    <w:p w14:paraId="7319AD22" w14:textId="77777777" w:rsidR="00467B7D" w:rsidRDefault="00467B7D" w:rsidP="00467B7D">
      <w:pPr>
        <w:pStyle w:val="ListParagraph"/>
        <w:numPr>
          <w:ilvl w:val="0"/>
          <w:numId w:val="37"/>
        </w:numPr>
        <w:spacing w:after="0" w:line="276" w:lineRule="auto"/>
      </w:pPr>
      <w:r>
        <w:t>Non-credit courses that do not award letter grades are not eligible for large class additional compensation.</w:t>
      </w:r>
    </w:p>
    <w:p w14:paraId="3B13D65B" w14:textId="77777777" w:rsidR="00467B7D" w:rsidRDefault="00467B7D" w:rsidP="00467B7D">
      <w:pPr>
        <w:pStyle w:val="ListParagraph"/>
        <w:numPr>
          <w:ilvl w:val="0"/>
          <w:numId w:val="37"/>
        </w:numPr>
        <w:spacing w:after="0" w:line="276" w:lineRule="auto"/>
      </w:pPr>
      <w:r>
        <w:t xml:space="preserve">To determine the correct pay, locate the intersection of the row for the pay grade assigned to the program, the column for the course level, and the sub-column for the instructor’s qualification (e.g. an adjunct with a Master’s degree teaching a three-credit hour course, housed in a pay grade 2 program, at the undergraduate level would receive $20 for each student over 60 enrolled students).  The number of students for which additional compensation is paid is determined by the census day enrollment minus 60 (e.g. if census day enrollment is 100, the additional compensation is calculated as 100-60 = 40; therefore, the instructor in the example above would be paid for 40 students at a rate of $20 for a total of $800).  This is in addition to the initial adjunct base compensation.  </w:t>
      </w:r>
      <w:r>
        <w:rPr>
          <w:b/>
        </w:rPr>
        <w:t>Total compensation for any single, large class will not exceed $8400.</w:t>
      </w:r>
      <w:r w:rsidRPr="005C40DC">
        <w:t xml:space="preserve"> </w:t>
      </w:r>
    </w:p>
    <w:p w14:paraId="03133535" w14:textId="77777777" w:rsidR="00467B7D" w:rsidRDefault="00467B7D" w:rsidP="00467B7D">
      <w:pPr>
        <w:pStyle w:val="ListParagraph"/>
        <w:numPr>
          <w:ilvl w:val="0"/>
          <w:numId w:val="37"/>
        </w:numPr>
        <w:spacing w:after="0" w:line="276" w:lineRule="auto"/>
      </w:pPr>
      <w:r>
        <w:t>Summer School – large class size compensation:  Summer salary for teaching up to six in-load credit hours is calculated according to Appendix B, paragraph 2.  For the first two courses, the large class size compensation will be calculated in addition to the summer school salary.  If a third course is taught during summer, the large class size total compensation amount will not exceed $8400.00 (including overload pay).</w:t>
      </w:r>
    </w:p>
    <w:p w14:paraId="52087EE1" w14:textId="77777777" w:rsidR="0068495B" w:rsidRDefault="0068495B" w:rsidP="0068495B">
      <w:pPr>
        <w:pStyle w:val="ListParagraph"/>
        <w:spacing w:after="0" w:line="276" w:lineRule="auto"/>
        <w:ind w:left="720"/>
      </w:pPr>
    </w:p>
    <w:p w14:paraId="2776246A" w14:textId="77777777" w:rsidR="00797C69" w:rsidRDefault="00797C69" w:rsidP="00797C69">
      <w:pPr>
        <w:spacing w:after="0"/>
        <w:rPr>
          <w:b/>
        </w:rPr>
      </w:pPr>
    </w:p>
    <w:tbl>
      <w:tblPr>
        <w:tblStyle w:val="TableGrid"/>
        <w:tblW w:w="10440" w:type="dxa"/>
        <w:jc w:val="center"/>
        <w:tblLook w:val="04A0" w:firstRow="1" w:lastRow="0" w:firstColumn="1" w:lastColumn="0" w:noHBand="0" w:noVBand="1"/>
      </w:tblPr>
      <w:tblGrid>
        <w:gridCol w:w="2190"/>
        <w:gridCol w:w="1648"/>
        <w:gridCol w:w="1654"/>
        <w:gridCol w:w="1648"/>
        <w:gridCol w:w="1654"/>
        <w:gridCol w:w="1646"/>
      </w:tblGrid>
      <w:tr w:rsidR="004D1CBC" w14:paraId="333D171E" w14:textId="77777777" w:rsidTr="00B32CA1">
        <w:trPr>
          <w:jc w:val="center"/>
        </w:trPr>
        <w:tc>
          <w:tcPr>
            <w:tcW w:w="10440" w:type="dxa"/>
            <w:gridSpan w:val="6"/>
            <w:vAlign w:val="center"/>
          </w:tcPr>
          <w:p w14:paraId="74DF3D3C" w14:textId="77777777" w:rsidR="004D1CBC" w:rsidRPr="000B1F1D" w:rsidRDefault="004D1CBC" w:rsidP="00B65FE4">
            <w:pPr>
              <w:pStyle w:val="Footer"/>
              <w:jc w:val="center"/>
              <w:rPr>
                <w:b/>
                <w:color w:val="000000" w:themeColor="text1"/>
              </w:rPr>
            </w:pPr>
            <w:r w:rsidRPr="000B1F1D">
              <w:rPr>
                <w:b/>
                <w:color w:val="000000" w:themeColor="text1"/>
              </w:rPr>
              <w:lastRenderedPageBreak/>
              <w:t>Compensation/Student beyond 60 Enrolled Students (not to exceed $8400)</w:t>
            </w:r>
          </w:p>
        </w:tc>
      </w:tr>
      <w:tr w:rsidR="004D1CBC" w14:paraId="30AC86D4" w14:textId="77777777" w:rsidTr="00B32CA1">
        <w:trPr>
          <w:jc w:val="center"/>
        </w:trPr>
        <w:tc>
          <w:tcPr>
            <w:tcW w:w="2190" w:type="dxa"/>
            <w:vAlign w:val="center"/>
          </w:tcPr>
          <w:p w14:paraId="49AC982A" w14:textId="77777777" w:rsidR="004D1CBC" w:rsidRDefault="004D1CBC" w:rsidP="00B65FE4">
            <w:pPr>
              <w:pStyle w:val="Footer"/>
            </w:pPr>
          </w:p>
        </w:tc>
        <w:tc>
          <w:tcPr>
            <w:tcW w:w="3302" w:type="dxa"/>
            <w:gridSpan w:val="2"/>
            <w:vAlign w:val="center"/>
          </w:tcPr>
          <w:p w14:paraId="7D565AEC" w14:textId="77777777" w:rsidR="004D1CBC" w:rsidRDefault="004D1CBC" w:rsidP="00B65FE4">
            <w:pPr>
              <w:pStyle w:val="Footer"/>
              <w:jc w:val="center"/>
              <w:rPr>
                <w:b/>
              </w:rPr>
            </w:pPr>
            <w:r>
              <w:rPr>
                <w:b/>
              </w:rPr>
              <w:t>Undergraduate</w:t>
            </w:r>
          </w:p>
          <w:p w14:paraId="74EAFD80" w14:textId="77777777" w:rsidR="004D1CBC" w:rsidRPr="005C40DC" w:rsidRDefault="004D1CBC" w:rsidP="00B65FE4">
            <w:pPr>
              <w:pStyle w:val="Footer"/>
              <w:jc w:val="center"/>
              <w:rPr>
                <w:b/>
              </w:rPr>
            </w:pPr>
            <w:r>
              <w:rPr>
                <w:b/>
              </w:rPr>
              <w:t>Course</w:t>
            </w:r>
          </w:p>
        </w:tc>
        <w:tc>
          <w:tcPr>
            <w:tcW w:w="3302" w:type="dxa"/>
            <w:gridSpan w:val="2"/>
            <w:vAlign w:val="center"/>
          </w:tcPr>
          <w:p w14:paraId="760C1BBF" w14:textId="77777777" w:rsidR="004D1CBC" w:rsidRDefault="004D1CBC" w:rsidP="00B65FE4">
            <w:pPr>
              <w:pStyle w:val="Footer"/>
              <w:jc w:val="center"/>
              <w:rPr>
                <w:b/>
              </w:rPr>
            </w:pPr>
            <w:r>
              <w:rPr>
                <w:b/>
              </w:rPr>
              <w:t>Graduate</w:t>
            </w:r>
          </w:p>
          <w:p w14:paraId="49915F27" w14:textId="77777777" w:rsidR="004D1CBC" w:rsidRPr="005C40DC" w:rsidRDefault="004D1CBC" w:rsidP="00B65FE4">
            <w:pPr>
              <w:pStyle w:val="Footer"/>
              <w:jc w:val="center"/>
              <w:rPr>
                <w:b/>
              </w:rPr>
            </w:pPr>
            <w:r>
              <w:rPr>
                <w:b/>
              </w:rPr>
              <w:t>Course</w:t>
            </w:r>
          </w:p>
        </w:tc>
        <w:tc>
          <w:tcPr>
            <w:tcW w:w="1646" w:type="dxa"/>
            <w:vAlign w:val="center"/>
          </w:tcPr>
          <w:p w14:paraId="68FC433E" w14:textId="77777777" w:rsidR="004D1CBC" w:rsidRPr="00C868FB" w:rsidRDefault="004D1CBC" w:rsidP="00B65FE4">
            <w:pPr>
              <w:pStyle w:val="Footer"/>
              <w:jc w:val="center"/>
              <w:rPr>
                <w:b/>
              </w:rPr>
            </w:pPr>
            <w:r>
              <w:rPr>
                <w:b/>
              </w:rPr>
              <w:t>Doctoral Course</w:t>
            </w:r>
          </w:p>
        </w:tc>
      </w:tr>
      <w:tr w:rsidR="004D1CBC" w14:paraId="51B1FDD3" w14:textId="77777777" w:rsidTr="00B32CA1">
        <w:trPr>
          <w:jc w:val="center"/>
        </w:trPr>
        <w:tc>
          <w:tcPr>
            <w:tcW w:w="2190" w:type="dxa"/>
            <w:vAlign w:val="center"/>
          </w:tcPr>
          <w:p w14:paraId="65BD3CAB" w14:textId="77777777" w:rsidR="004D1CBC" w:rsidRPr="00B06BB9" w:rsidRDefault="004D1CBC" w:rsidP="00B65FE4">
            <w:pPr>
              <w:pStyle w:val="Footer"/>
              <w:jc w:val="center"/>
              <w:rPr>
                <w:b/>
              </w:rPr>
            </w:pPr>
            <w:r>
              <w:rPr>
                <w:b/>
              </w:rPr>
              <w:t>Discipline</w:t>
            </w:r>
          </w:p>
        </w:tc>
        <w:tc>
          <w:tcPr>
            <w:tcW w:w="1648" w:type="dxa"/>
            <w:vAlign w:val="center"/>
          </w:tcPr>
          <w:p w14:paraId="27CD5B2B" w14:textId="77777777" w:rsidR="004D1CBC" w:rsidRPr="00B06BB9" w:rsidRDefault="004D1CBC" w:rsidP="00B65FE4">
            <w:pPr>
              <w:pStyle w:val="Footer"/>
              <w:jc w:val="center"/>
              <w:rPr>
                <w:b/>
              </w:rPr>
            </w:pPr>
            <w:r>
              <w:rPr>
                <w:b/>
              </w:rPr>
              <w:t>Master’s Degree</w:t>
            </w:r>
          </w:p>
        </w:tc>
        <w:tc>
          <w:tcPr>
            <w:tcW w:w="1654" w:type="dxa"/>
            <w:vAlign w:val="center"/>
          </w:tcPr>
          <w:p w14:paraId="0C2F3B71" w14:textId="77777777" w:rsidR="004D1CBC" w:rsidRDefault="004D1CBC" w:rsidP="00B65FE4">
            <w:pPr>
              <w:pStyle w:val="Footer"/>
              <w:jc w:val="center"/>
              <w:rPr>
                <w:b/>
              </w:rPr>
            </w:pPr>
            <w:r>
              <w:rPr>
                <w:b/>
              </w:rPr>
              <w:t xml:space="preserve">Doctoral </w:t>
            </w:r>
          </w:p>
          <w:p w14:paraId="0B082815" w14:textId="77777777" w:rsidR="004D1CBC" w:rsidRPr="00B06BB9" w:rsidRDefault="004D1CBC" w:rsidP="00B65FE4">
            <w:pPr>
              <w:pStyle w:val="Footer"/>
              <w:jc w:val="center"/>
              <w:rPr>
                <w:b/>
              </w:rPr>
            </w:pPr>
            <w:r>
              <w:rPr>
                <w:b/>
              </w:rPr>
              <w:t>(or terminal) Degree</w:t>
            </w:r>
          </w:p>
        </w:tc>
        <w:tc>
          <w:tcPr>
            <w:tcW w:w="1648" w:type="dxa"/>
            <w:vAlign w:val="center"/>
          </w:tcPr>
          <w:p w14:paraId="52F672C9" w14:textId="77777777" w:rsidR="004D1CBC" w:rsidRPr="00B06BB9" w:rsidRDefault="004D1CBC" w:rsidP="00B65FE4">
            <w:pPr>
              <w:pStyle w:val="Footer"/>
              <w:jc w:val="center"/>
              <w:rPr>
                <w:b/>
              </w:rPr>
            </w:pPr>
            <w:r>
              <w:rPr>
                <w:b/>
              </w:rPr>
              <w:t>Master’s Degree</w:t>
            </w:r>
          </w:p>
        </w:tc>
        <w:tc>
          <w:tcPr>
            <w:tcW w:w="1654" w:type="dxa"/>
            <w:vAlign w:val="center"/>
          </w:tcPr>
          <w:p w14:paraId="539E7BF5" w14:textId="77777777" w:rsidR="004D1CBC" w:rsidRDefault="004D1CBC" w:rsidP="00B65FE4">
            <w:pPr>
              <w:pStyle w:val="Footer"/>
              <w:jc w:val="center"/>
              <w:rPr>
                <w:b/>
              </w:rPr>
            </w:pPr>
            <w:r>
              <w:rPr>
                <w:b/>
              </w:rPr>
              <w:t xml:space="preserve">Doctoral </w:t>
            </w:r>
          </w:p>
          <w:p w14:paraId="02065846" w14:textId="77777777" w:rsidR="004D1CBC" w:rsidRPr="00B06BB9" w:rsidRDefault="004D1CBC" w:rsidP="00B65FE4">
            <w:pPr>
              <w:pStyle w:val="Footer"/>
              <w:jc w:val="center"/>
              <w:rPr>
                <w:b/>
              </w:rPr>
            </w:pPr>
            <w:r>
              <w:rPr>
                <w:b/>
              </w:rPr>
              <w:t>(or terminal) Degree</w:t>
            </w:r>
          </w:p>
        </w:tc>
        <w:tc>
          <w:tcPr>
            <w:tcW w:w="1646" w:type="dxa"/>
            <w:vAlign w:val="center"/>
          </w:tcPr>
          <w:p w14:paraId="487528FB" w14:textId="77777777" w:rsidR="004D1CBC" w:rsidRPr="00B06BB9" w:rsidRDefault="004D1CBC" w:rsidP="00B65FE4">
            <w:pPr>
              <w:pStyle w:val="Footer"/>
              <w:jc w:val="center"/>
              <w:rPr>
                <w:b/>
              </w:rPr>
            </w:pPr>
            <w:r>
              <w:rPr>
                <w:b/>
              </w:rPr>
              <w:t>Doctoral Degree</w:t>
            </w:r>
          </w:p>
        </w:tc>
      </w:tr>
      <w:tr w:rsidR="004D1CBC" w14:paraId="23E236C0" w14:textId="77777777" w:rsidTr="00B32CA1">
        <w:trPr>
          <w:jc w:val="center"/>
        </w:trPr>
        <w:tc>
          <w:tcPr>
            <w:tcW w:w="2190" w:type="dxa"/>
            <w:vAlign w:val="center"/>
          </w:tcPr>
          <w:p w14:paraId="346373ED" w14:textId="77777777" w:rsidR="004D1CBC" w:rsidRDefault="004D1CBC" w:rsidP="00B65FE4">
            <w:pPr>
              <w:pStyle w:val="Footer"/>
              <w:rPr>
                <w:b/>
              </w:rPr>
            </w:pPr>
            <w:r>
              <w:rPr>
                <w:b/>
              </w:rPr>
              <w:t>Pay Grade 4</w:t>
            </w:r>
          </w:p>
          <w:p w14:paraId="666310A1" w14:textId="6869FBFA" w:rsidR="004D1CBC" w:rsidRPr="00B06BB9" w:rsidRDefault="004D1CBC" w:rsidP="00B65FE4">
            <w:pPr>
              <w:pStyle w:val="Footer"/>
            </w:pPr>
            <w:r w:rsidRPr="00B52F6D">
              <w:t xml:space="preserve">College of Business, </w:t>
            </w:r>
            <w:r>
              <w:t xml:space="preserve">EdD, </w:t>
            </w:r>
            <w:proofErr w:type="spellStart"/>
            <w:r w:rsidRPr="00B52F6D">
              <w:t>MEd</w:t>
            </w:r>
            <w:r>
              <w:t>CI</w:t>
            </w:r>
            <w:proofErr w:type="spellEnd"/>
            <w:r w:rsidRPr="00B52F6D">
              <w:t xml:space="preserve">, </w:t>
            </w:r>
            <w:proofErr w:type="spellStart"/>
            <w:r w:rsidR="00B32CA1" w:rsidRPr="00B52F6D">
              <w:t>MEdL</w:t>
            </w:r>
            <w:proofErr w:type="spellEnd"/>
            <w:r w:rsidR="00B32CA1" w:rsidRPr="00B52F6D">
              <w:t>, MPH</w:t>
            </w:r>
          </w:p>
        </w:tc>
        <w:tc>
          <w:tcPr>
            <w:tcW w:w="1648" w:type="dxa"/>
            <w:vAlign w:val="center"/>
          </w:tcPr>
          <w:p w14:paraId="0181DFE9" w14:textId="77777777" w:rsidR="004D1CBC" w:rsidRDefault="004D1CBC" w:rsidP="00B65FE4">
            <w:pPr>
              <w:pStyle w:val="Footer"/>
              <w:jc w:val="center"/>
            </w:pPr>
            <w:r>
              <w:t>$40</w:t>
            </w:r>
          </w:p>
        </w:tc>
        <w:tc>
          <w:tcPr>
            <w:tcW w:w="1654" w:type="dxa"/>
            <w:vAlign w:val="center"/>
          </w:tcPr>
          <w:p w14:paraId="6E77A4F0" w14:textId="77777777" w:rsidR="004D1CBC" w:rsidRDefault="004D1CBC" w:rsidP="00B65FE4">
            <w:pPr>
              <w:pStyle w:val="Footer"/>
              <w:jc w:val="center"/>
            </w:pPr>
            <w:r>
              <w:t>$50</w:t>
            </w:r>
          </w:p>
        </w:tc>
        <w:tc>
          <w:tcPr>
            <w:tcW w:w="1648" w:type="dxa"/>
            <w:vAlign w:val="center"/>
          </w:tcPr>
          <w:p w14:paraId="7EFF8D56" w14:textId="77777777" w:rsidR="004D1CBC" w:rsidRDefault="004D1CBC" w:rsidP="00B65FE4">
            <w:pPr>
              <w:pStyle w:val="Footer"/>
              <w:jc w:val="center"/>
            </w:pPr>
            <w:r>
              <w:t>$50</w:t>
            </w:r>
          </w:p>
        </w:tc>
        <w:tc>
          <w:tcPr>
            <w:tcW w:w="1654" w:type="dxa"/>
            <w:vAlign w:val="center"/>
          </w:tcPr>
          <w:p w14:paraId="2CDE1541" w14:textId="77777777" w:rsidR="004D1CBC" w:rsidRDefault="004D1CBC" w:rsidP="00B65FE4">
            <w:pPr>
              <w:pStyle w:val="Footer"/>
              <w:jc w:val="center"/>
            </w:pPr>
            <w:r>
              <w:t>$60</w:t>
            </w:r>
          </w:p>
        </w:tc>
        <w:tc>
          <w:tcPr>
            <w:tcW w:w="1646" w:type="dxa"/>
            <w:vAlign w:val="center"/>
          </w:tcPr>
          <w:p w14:paraId="5EE21F93" w14:textId="77777777" w:rsidR="004D1CBC" w:rsidRDefault="004D1CBC" w:rsidP="00B65FE4">
            <w:pPr>
              <w:pStyle w:val="Footer"/>
              <w:jc w:val="center"/>
            </w:pPr>
            <w:r>
              <w:t>$60</w:t>
            </w:r>
          </w:p>
        </w:tc>
      </w:tr>
      <w:tr w:rsidR="004D1CBC" w14:paraId="6B07977A" w14:textId="77777777" w:rsidTr="00B32CA1">
        <w:trPr>
          <w:jc w:val="center"/>
        </w:trPr>
        <w:tc>
          <w:tcPr>
            <w:tcW w:w="2190" w:type="dxa"/>
            <w:vAlign w:val="center"/>
          </w:tcPr>
          <w:p w14:paraId="385B3041" w14:textId="77777777" w:rsidR="004D1CBC" w:rsidRDefault="004D1CBC" w:rsidP="00B65FE4">
            <w:pPr>
              <w:pStyle w:val="Footer"/>
              <w:rPr>
                <w:b/>
              </w:rPr>
            </w:pPr>
            <w:r>
              <w:rPr>
                <w:b/>
              </w:rPr>
              <w:t>Pay Grade 3</w:t>
            </w:r>
          </w:p>
          <w:p w14:paraId="1D56F28D" w14:textId="77777777" w:rsidR="004D1CBC" w:rsidRPr="00B06BB9" w:rsidRDefault="004D1CBC" w:rsidP="00B65FE4">
            <w:pPr>
              <w:pStyle w:val="Footer"/>
            </w:pPr>
            <w:r w:rsidRPr="00B52F6D">
              <w:t xml:space="preserve">Computer Science, </w:t>
            </w:r>
            <w:r>
              <w:t xml:space="preserve">MSC, </w:t>
            </w:r>
            <w:r w:rsidRPr="00B52F6D">
              <w:t>NPA</w:t>
            </w:r>
            <w:r>
              <w:t>, SSP</w:t>
            </w:r>
          </w:p>
        </w:tc>
        <w:tc>
          <w:tcPr>
            <w:tcW w:w="1648" w:type="dxa"/>
            <w:vAlign w:val="center"/>
          </w:tcPr>
          <w:p w14:paraId="2BA3C2E5" w14:textId="77777777" w:rsidR="004D1CBC" w:rsidRDefault="004D1CBC" w:rsidP="00B65FE4">
            <w:pPr>
              <w:pStyle w:val="Footer"/>
              <w:jc w:val="center"/>
            </w:pPr>
            <w:r>
              <w:t>$30</w:t>
            </w:r>
          </w:p>
        </w:tc>
        <w:tc>
          <w:tcPr>
            <w:tcW w:w="1654" w:type="dxa"/>
            <w:vAlign w:val="center"/>
          </w:tcPr>
          <w:p w14:paraId="4478A375" w14:textId="77777777" w:rsidR="004D1CBC" w:rsidRDefault="004D1CBC" w:rsidP="00B65FE4">
            <w:pPr>
              <w:pStyle w:val="Footer"/>
              <w:jc w:val="center"/>
            </w:pPr>
            <w:r>
              <w:t>$40</w:t>
            </w:r>
          </w:p>
        </w:tc>
        <w:tc>
          <w:tcPr>
            <w:tcW w:w="1648" w:type="dxa"/>
            <w:vAlign w:val="center"/>
          </w:tcPr>
          <w:p w14:paraId="6323984B" w14:textId="77777777" w:rsidR="004D1CBC" w:rsidRDefault="004D1CBC" w:rsidP="00B65FE4">
            <w:pPr>
              <w:pStyle w:val="Footer"/>
              <w:jc w:val="center"/>
            </w:pPr>
            <w:r>
              <w:t>$40</w:t>
            </w:r>
          </w:p>
        </w:tc>
        <w:tc>
          <w:tcPr>
            <w:tcW w:w="1654" w:type="dxa"/>
            <w:vAlign w:val="center"/>
          </w:tcPr>
          <w:p w14:paraId="67965873" w14:textId="77777777" w:rsidR="004D1CBC" w:rsidRDefault="004D1CBC" w:rsidP="00B65FE4">
            <w:pPr>
              <w:pStyle w:val="Footer"/>
              <w:jc w:val="center"/>
            </w:pPr>
            <w:r>
              <w:t>$50</w:t>
            </w:r>
          </w:p>
        </w:tc>
        <w:tc>
          <w:tcPr>
            <w:tcW w:w="1646" w:type="dxa"/>
            <w:vAlign w:val="center"/>
          </w:tcPr>
          <w:p w14:paraId="0DCC2080" w14:textId="77777777" w:rsidR="004D1CBC" w:rsidRDefault="004D1CBC" w:rsidP="00B65FE4">
            <w:pPr>
              <w:pStyle w:val="Footer"/>
              <w:jc w:val="center"/>
            </w:pPr>
            <w:r>
              <w:t>n/a</w:t>
            </w:r>
          </w:p>
        </w:tc>
      </w:tr>
      <w:tr w:rsidR="004D1CBC" w14:paraId="5495B2BA" w14:textId="77777777" w:rsidTr="00B32CA1">
        <w:trPr>
          <w:jc w:val="center"/>
        </w:trPr>
        <w:tc>
          <w:tcPr>
            <w:tcW w:w="2190" w:type="dxa"/>
            <w:vAlign w:val="center"/>
          </w:tcPr>
          <w:p w14:paraId="1D4B2061" w14:textId="77777777" w:rsidR="004D1CBC" w:rsidRDefault="004D1CBC" w:rsidP="00B65FE4">
            <w:pPr>
              <w:pStyle w:val="Footer"/>
              <w:rPr>
                <w:b/>
              </w:rPr>
            </w:pPr>
            <w:r>
              <w:rPr>
                <w:b/>
              </w:rPr>
              <w:t>Pay Grade 2</w:t>
            </w:r>
          </w:p>
          <w:p w14:paraId="6625E2DB" w14:textId="77777777" w:rsidR="004D1CBC" w:rsidRPr="00B06BB9" w:rsidRDefault="004D1CBC" w:rsidP="00B65FE4">
            <w:pPr>
              <w:pStyle w:val="Footer"/>
            </w:pPr>
            <w:r w:rsidRPr="00B52F6D">
              <w:t xml:space="preserve">School of Education, </w:t>
            </w:r>
            <w:r>
              <w:t xml:space="preserve">School of Human Sciences, </w:t>
            </w:r>
            <w:r w:rsidRPr="00B52F6D">
              <w:t>School of Mathematics &amp; Sciences</w:t>
            </w:r>
          </w:p>
        </w:tc>
        <w:tc>
          <w:tcPr>
            <w:tcW w:w="1648" w:type="dxa"/>
            <w:vAlign w:val="center"/>
          </w:tcPr>
          <w:p w14:paraId="567CDF8C" w14:textId="77777777" w:rsidR="004D1CBC" w:rsidRDefault="004D1CBC" w:rsidP="00B65FE4">
            <w:pPr>
              <w:pStyle w:val="Footer"/>
              <w:jc w:val="center"/>
            </w:pPr>
            <w:r>
              <w:t>$20</w:t>
            </w:r>
          </w:p>
        </w:tc>
        <w:tc>
          <w:tcPr>
            <w:tcW w:w="1654" w:type="dxa"/>
            <w:vAlign w:val="center"/>
          </w:tcPr>
          <w:p w14:paraId="0F98DE98" w14:textId="77777777" w:rsidR="004D1CBC" w:rsidRDefault="004D1CBC" w:rsidP="00B65FE4">
            <w:pPr>
              <w:pStyle w:val="Footer"/>
              <w:jc w:val="center"/>
            </w:pPr>
            <w:r>
              <w:t>$30</w:t>
            </w:r>
          </w:p>
        </w:tc>
        <w:tc>
          <w:tcPr>
            <w:tcW w:w="1648" w:type="dxa"/>
            <w:vAlign w:val="center"/>
          </w:tcPr>
          <w:p w14:paraId="76A033CC" w14:textId="77777777" w:rsidR="004D1CBC" w:rsidRDefault="004D1CBC" w:rsidP="00B65FE4">
            <w:pPr>
              <w:pStyle w:val="Footer"/>
              <w:jc w:val="center"/>
            </w:pPr>
            <w:r>
              <w:t>$30</w:t>
            </w:r>
          </w:p>
        </w:tc>
        <w:tc>
          <w:tcPr>
            <w:tcW w:w="1654" w:type="dxa"/>
            <w:vAlign w:val="center"/>
          </w:tcPr>
          <w:p w14:paraId="7AF01D5B" w14:textId="77777777" w:rsidR="004D1CBC" w:rsidRDefault="004D1CBC" w:rsidP="00B65FE4">
            <w:pPr>
              <w:pStyle w:val="Footer"/>
              <w:jc w:val="center"/>
            </w:pPr>
            <w:r>
              <w:t>$40</w:t>
            </w:r>
          </w:p>
        </w:tc>
        <w:tc>
          <w:tcPr>
            <w:tcW w:w="1646" w:type="dxa"/>
            <w:vAlign w:val="center"/>
          </w:tcPr>
          <w:p w14:paraId="68A31CD3" w14:textId="77777777" w:rsidR="004D1CBC" w:rsidRDefault="004D1CBC" w:rsidP="00B65FE4">
            <w:pPr>
              <w:pStyle w:val="Footer"/>
              <w:jc w:val="center"/>
            </w:pPr>
            <w:r>
              <w:t>n/a</w:t>
            </w:r>
          </w:p>
        </w:tc>
      </w:tr>
      <w:tr w:rsidR="004D1CBC" w14:paraId="69B21540" w14:textId="77777777" w:rsidTr="00B32CA1">
        <w:trPr>
          <w:jc w:val="center"/>
        </w:trPr>
        <w:tc>
          <w:tcPr>
            <w:tcW w:w="2190" w:type="dxa"/>
            <w:vAlign w:val="center"/>
          </w:tcPr>
          <w:p w14:paraId="0DF66EE0" w14:textId="77777777" w:rsidR="004D1CBC" w:rsidRDefault="004D1CBC" w:rsidP="00B65FE4">
            <w:pPr>
              <w:pStyle w:val="Footer"/>
              <w:rPr>
                <w:b/>
              </w:rPr>
            </w:pPr>
            <w:r>
              <w:rPr>
                <w:b/>
              </w:rPr>
              <w:t>Pay Grade 1</w:t>
            </w:r>
          </w:p>
          <w:p w14:paraId="42085108" w14:textId="77777777" w:rsidR="004D1CBC" w:rsidRPr="00B06BB9" w:rsidRDefault="004D1CBC" w:rsidP="00B65FE4">
            <w:pPr>
              <w:pStyle w:val="Footer"/>
            </w:pPr>
            <w:r w:rsidRPr="00B52F6D">
              <w:t>Kinesiology &amp; Health Science, School of Humanities &amp; Social Sciences</w:t>
            </w:r>
          </w:p>
        </w:tc>
        <w:tc>
          <w:tcPr>
            <w:tcW w:w="1648" w:type="dxa"/>
            <w:vAlign w:val="center"/>
          </w:tcPr>
          <w:p w14:paraId="54196896" w14:textId="77777777" w:rsidR="004D1CBC" w:rsidRDefault="004D1CBC" w:rsidP="00B65FE4">
            <w:pPr>
              <w:pStyle w:val="Footer"/>
              <w:jc w:val="center"/>
            </w:pPr>
            <w:r>
              <w:t>$10</w:t>
            </w:r>
          </w:p>
        </w:tc>
        <w:tc>
          <w:tcPr>
            <w:tcW w:w="1654" w:type="dxa"/>
            <w:vAlign w:val="center"/>
          </w:tcPr>
          <w:p w14:paraId="6DCE23AC" w14:textId="77777777" w:rsidR="004D1CBC" w:rsidRDefault="004D1CBC" w:rsidP="00B65FE4">
            <w:pPr>
              <w:pStyle w:val="Footer"/>
              <w:jc w:val="center"/>
            </w:pPr>
            <w:r>
              <w:t>$20</w:t>
            </w:r>
          </w:p>
        </w:tc>
        <w:tc>
          <w:tcPr>
            <w:tcW w:w="1648" w:type="dxa"/>
            <w:vAlign w:val="center"/>
          </w:tcPr>
          <w:p w14:paraId="183B6DE1" w14:textId="77777777" w:rsidR="004D1CBC" w:rsidRDefault="004D1CBC" w:rsidP="00B65FE4">
            <w:pPr>
              <w:pStyle w:val="Footer"/>
              <w:jc w:val="center"/>
            </w:pPr>
            <w:r>
              <w:t>$20</w:t>
            </w:r>
          </w:p>
        </w:tc>
        <w:tc>
          <w:tcPr>
            <w:tcW w:w="1654" w:type="dxa"/>
            <w:vAlign w:val="center"/>
          </w:tcPr>
          <w:p w14:paraId="3AF315E6" w14:textId="77777777" w:rsidR="004D1CBC" w:rsidRDefault="004D1CBC" w:rsidP="00B65FE4">
            <w:pPr>
              <w:pStyle w:val="Footer"/>
              <w:jc w:val="center"/>
            </w:pPr>
            <w:r>
              <w:t>$30</w:t>
            </w:r>
          </w:p>
        </w:tc>
        <w:tc>
          <w:tcPr>
            <w:tcW w:w="1646" w:type="dxa"/>
            <w:vAlign w:val="center"/>
          </w:tcPr>
          <w:p w14:paraId="1A9BE522" w14:textId="77777777" w:rsidR="004D1CBC" w:rsidRDefault="004D1CBC" w:rsidP="00B65FE4">
            <w:pPr>
              <w:pStyle w:val="Footer"/>
              <w:jc w:val="center"/>
            </w:pPr>
            <w:r>
              <w:t>n/a</w:t>
            </w:r>
          </w:p>
        </w:tc>
      </w:tr>
    </w:tbl>
    <w:p w14:paraId="5EEE3E77" w14:textId="77777777" w:rsidR="004D1CBC" w:rsidRDefault="004D1CBC" w:rsidP="00797C69">
      <w:pPr>
        <w:spacing w:after="0"/>
        <w:rPr>
          <w:b/>
        </w:rPr>
      </w:pPr>
    </w:p>
    <w:p w14:paraId="15989607" w14:textId="77777777" w:rsidR="00A80783" w:rsidRDefault="00A80783" w:rsidP="00772927">
      <w:pPr>
        <w:spacing w:after="0"/>
        <w:rPr>
          <w:b/>
        </w:rPr>
      </w:pPr>
    </w:p>
    <w:p w14:paraId="145B9968" w14:textId="77777777" w:rsidR="0068495B" w:rsidRDefault="0068495B" w:rsidP="00772927">
      <w:pPr>
        <w:spacing w:after="0"/>
        <w:rPr>
          <w:b/>
        </w:rPr>
      </w:pPr>
    </w:p>
    <w:p w14:paraId="6AD1131C" w14:textId="77777777" w:rsidR="0068495B" w:rsidRDefault="0068495B" w:rsidP="00772927">
      <w:pPr>
        <w:spacing w:after="0"/>
        <w:rPr>
          <w:b/>
        </w:rPr>
      </w:pPr>
    </w:p>
    <w:p w14:paraId="635FD058" w14:textId="77777777" w:rsidR="0068495B" w:rsidRDefault="0068495B" w:rsidP="00772927">
      <w:pPr>
        <w:spacing w:after="0"/>
        <w:rPr>
          <w:b/>
        </w:rPr>
      </w:pPr>
    </w:p>
    <w:p w14:paraId="481CB9B1" w14:textId="77777777" w:rsidR="0068495B" w:rsidRDefault="0068495B" w:rsidP="00772927">
      <w:pPr>
        <w:spacing w:after="0"/>
        <w:rPr>
          <w:b/>
        </w:rPr>
      </w:pPr>
    </w:p>
    <w:p w14:paraId="2C8E430F" w14:textId="77777777" w:rsidR="0068495B" w:rsidRDefault="0068495B" w:rsidP="00772927">
      <w:pPr>
        <w:spacing w:after="0"/>
        <w:rPr>
          <w:b/>
        </w:rPr>
      </w:pPr>
    </w:p>
    <w:p w14:paraId="2C4E65BF" w14:textId="77777777" w:rsidR="0068495B" w:rsidRDefault="0068495B" w:rsidP="00772927">
      <w:pPr>
        <w:spacing w:after="0"/>
        <w:rPr>
          <w:b/>
        </w:rPr>
      </w:pPr>
    </w:p>
    <w:p w14:paraId="25EA485D" w14:textId="77777777" w:rsidR="0068495B" w:rsidRDefault="0068495B" w:rsidP="00772927">
      <w:pPr>
        <w:spacing w:after="0"/>
        <w:rPr>
          <w:b/>
        </w:rPr>
      </w:pPr>
    </w:p>
    <w:p w14:paraId="61CA990E" w14:textId="77777777" w:rsidR="0068495B" w:rsidRDefault="0068495B" w:rsidP="00772927">
      <w:pPr>
        <w:spacing w:after="0"/>
        <w:rPr>
          <w:b/>
        </w:rPr>
      </w:pPr>
    </w:p>
    <w:p w14:paraId="2ABC5352" w14:textId="77777777" w:rsidR="0068495B" w:rsidRDefault="0068495B" w:rsidP="00772927">
      <w:pPr>
        <w:spacing w:after="0"/>
        <w:rPr>
          <w:b/>
        </w:rPr>
      </w:pPr>
    </w:p>
    <w:p w14:paraId="318EA051" w14:textId="77777777" w:rsidR="0068495B" w:rsidRPr="005309DF" w:rsidRDefault="0068495B" w:rsidP="00772927">
      <w:pPr>
        <w:spacing w:after="0"/>
        <w:rPr>
          <w:b/>
        </w:rPr>
      </w:pPr>
    </w:p>
    <w:p w14:paraId="45649EBE" w14:textId="77777777" w:rsidR="00CF3799" w:rsidRPr="005309DF" w:rsidRDefault="00CF3799" w:rsidP="00CF3799">
      <w:pPr>
        <w:spacing w:after="0"/>
        <w:rPr>
          <w:b/>
        </w:rPr>
      </w:pPr>
    </w:p>
    <w:p w14:paraId="64EBAA26" w14:textId="656E4BBA" w:rsidR="00D019AE" w:rsidRPr="00D019AE" w:rsidRDefault="00D019AE" w:rsidP="00D019AE">
      <w:pPr>
        <w:spacing w:after="0"/>
        <w:rPr>
          <w:b/>
          <w:bCs/>
          <w:color w:val="461D7C"/>
        </w:rPr>
      </w:pPr>
      <w:r w:rsidRPr="00D019AE">
        <w:rPr>
          <w:b/>
          <w:bCs/>
          <w:color w:val="461D7C"/>
        </w:rPr>
        <w:lastRenderedPageBreak/>
        <w:t>APPENDIX E to LSUS Policy Statement 2.33.0</w:t>
      </w:r>
      <w:r>
        <w:rPr>
          <w:b/>
          <w:bCs/>
          <w:color w:val="461D7C"/>
        </w:rPr>
        <w:t>5</w:t>
      </w:r>
    </w:p>
    <w:p w14:paraId="19854512" w14:textId="3FEB6A57" w:rsidR="0040458B" w:rsidRDefault="00D019AE" w:rsidP="00D019AE">
      <w:pPr>
        <w:spacing w:after="0"/>
        <w:rPr>
          <w:b/>
          <w:bCs/>
          <w:color w:val="461D7C"/>
        </w:rPr>
      </w:pPr>
      <w:r w:rsidRPr="00D019AE">
        <w:rPr>
          <w:b/>
          <w:bCs/>
          <w:color w:val="461D7C"/>
        </w:rPr>
        <w:t>DEPARTMENT CHAIR COMPENSATION</w:t>
      </w:r>
    </w:p>
    <w:p w14:paraId="0FA82885" w14:textId="77777777" w:rsidR="00D019AE" w:rsidRDefault="00D019AE" w:rsidP="00D019AE">
      <w:pPr>
        <w:spacing w:after="0"/>
        <w:rPr>
          <w:b/>
          <w:bCs/>
          <w:color w:val="461D7C"/>
        </w:rPr>
      </w:pPr>
    </w:p>
    <w:p w14:paraId="034F31A1" w14:textId="77777777" w:rsidR="005C66E4" w:rsidRPr="005A77E5" w:rsidRDefault="005C66E4" w:rsidP="005C66E4">
      <w:pPr>
        <w:pStyle w:val="ListParagraph"/>
        <w:numPr>
          <w:ilvl w:val="0"/>
          <w:numId w:val="38"/>
        </w:numPr>
        <w:spacing w:after="0" w:line="276" w:lineRule="auto"/>
      </w:pPr>
      <w:r w:rsidRPr="005A77E5">
        <w:t>Department Chair compensation is based on the size of the department.  Departments are assigned a tier, as follows:</w:t>
      </w:r>
    </w:p>
    <w:p w14:paraId="102FAA69" w14:textId="374B5F3C" w:rsidR="005C66E4" w:rsidRDefault="005C66E4" w:rsidP="005C66E4">
      <w:pPr>
        <w:pStyle w:val="ListParagraph"/>
        <w:spacing w:after="0"/>
        <w:ind w:left="1440"/>
      </w:pPr>
      <w:r>
        <w:t>TIER 1</w:t>
      </w:r>
      <w:r w:rsidR="005A3FE7">
        <w:t>: One</w:t>
      </w:r>
      <w:r>
        <w:t xml:space="preserve"> to four full-time faculty members</w:t>
      </w:r>
    </w:p>
    <w:p w14:paraId="0FA9251D" w14:textId="1CB73147" w:rsidR="005C66E4" w:rsidRDefault="005C66E4" w:rsidP="005C66E4">
      <w:pPr>
        <w:pStyle w:val="ListParagraph"/>
        <w:spacing w:after="0"/>
        <w:ind w:left="1440"/>
      </w:pPr>
      <w:r>
        <w:t>TIER 2</w:t>
      </w:r>
      <w:r w:rsidR="005A3FE7">
        <w:t>: Five</w:t>
      </w:r>
      <w:r>
        <w:t xml:space="preserve"> to eleven full-time faculty members</w:t>
      </w:r>
    </w:p>
    <w:p w14:paraId="67017F08" w14:textId="44391455" w:rsidR="005C66E4" w:rsidRDefault="005C66E4" w:rsidP="005C66E4">
      <w:pPr>
        <w:pStyle w:val="ListParagraph"/>
        <w:spacing w:after="0"/>
        <w:ind w:left="1440"/>
      </w:pPr>
      <w:r>
        <w:t>TIER 3</w:t>
      </w:r>
      <w:r w:rsidR="005A3FE7">
        <w:t>: Greater</w:t>
      </w:r>
      <w:r>
        <w:t xml:space="preserve"> than eleven full-time faculty members</w:t>
      </w:r>
    </w:p>
    <w:p w14:paraId="3F734A45" w14:textId="77777777" w:rsidR="005C66E4" w:rsidRDefault="005C66E4" w:rsidP="005C66E4">
      <w:pPr>
        <w:spacing w:after="0"/>
        <w:ind w:left="720"/>
      </w:pPr>
      <w:r>
        <w:t>Each tier is assigned a compensation range as indicated below.  The intent of this is to give Deans a means to provide greater compensation to a Department Chair for special circumstances or seniority.  New Department Chairs are expected to be compensated at the minimum level for that tier.  Exceptions to this must be approved by the Vice Chancellor for Academic Affairs.</w:t>
      </w:r>
    </w:p>
    <w:p w14:paraId="44F51647" w14:textId="77777777" w:rsidR="005C66E4" w:rsidRDefault="005C66E4" w:rsidP="005C66E4">
      <w:pPr>
        <w:spacing w:after="0"/>
      </w:pPr>
    </w:p>
    <w:tbl>
      <w:tblPr>
        <w:tblStyle w:val="TableGrid"/>
        <w:tblW w:w="0" w:type="auto"/>
        <w:jc w:val="center"/>
        <w:tblLook w:val="04A0" w:firstRow="1" w:lastRow="0" w:firstColumn="1" w:lastColumn="0" w:noHBand="0" w:noVBand="1"/>
      </w:tblPr>
      <w:tblGrid>
        <w:gridCol w:w="4315"/>
        <w:gridCol w:w="4315"/>
      </w:tblGrid>
      <w:tr w:rsidR="005C66E4" w14:paraId="2F5DF342" w14:textId="77777777" w:rsidTr="00B32CA1">
        <w:trPr>
          <w:jc w:val="center"/>
        </w:trPr>
        <w:tc>
          <w:tcPr>
            <w:tcW w:w="4315" w:type="dxa"/>
            <w:vAlign w:val="center"/>
          </w:tcPr>
          <w:p w14:paraId="09647A23" w14:textId="77777777" w:rsidR="005C66E4" w:rsidRPr="00BC4060" w:rsidRDefault="005C66E4" w:rsidP="00B65FE4">
            <w:pPr>
              <w:jc w:val="center"/>
              <w:rPr>
                <w:b/>
              </w:rPr>
            </w:pPr>
            <w:r>
              <w:rPr>
                <w:b/>
              </w:rPr>
              <w:t>TIER</w:t>
            </w:r>
          </w:p>
        </w:tc>
        <w:tc>
          <w:tcPr>
            <w:tcW w:w="4315" w:type="dxa"/>
            <w:vAlign w:val="center"/>
          </w:tcPr>
          <w:p w14:paraId="6EAE4A1B" w14:textId="77777777" w:rsidR="005C66E4" w:rsidRPr="00BC4060" w:rsidRDefault="005C66E4" w:rsidP="00B65FE4">
            <w:pPr>
              <w:jc w:val="center"/>
              <w:rPr>
                <w:b/>
              </w:rPr>
            </w:pPr>
            <w:r>
              <w:rPr>
                <w:b/>
              </w:rPr>
              <w:t>ANNUAL RANGE</w:t>
            </w:r>
          </w:p>
        </w:tc>
      </w:tr>
      <w:tr w:rsidR="005C66E4" w14:paraId="4A9291BE" w14:textId="77777777" w:rsidTr="00B32CA1">
        <w:trPr>
          <w:jc w:val="center"/>
        </w:trPr>
        <w:tc>
          <w:tcPr>
            <w:tcW w:w="4315" w:type="dxa"/>
            <w:vAlign w:val="center"/>
          </w:tcPr>
          <w:p w14:paraId="4249F1C9" w14:textId="77777777" w:rsidR="005C66E4" w:rsidRDefault="005C66E4" w:rsidP="00B65FE4">
            <w:r>
              <w:t>TIER 1 (one to four faculty)</w:t>
            </w:r>
          </w:p>
        </w:tc>
        <w:tc>
          <w:tcPr>
            <w:tcW w:w="4315" w:type="dxa"/>
            <w:vAlign w:val="center"/>
          </w:tcPr>
          <w:p w14:paraId="29CD7873" w14:textId="77777777" w:rsidR="005C66E4" w:rsidRDefault="005C66E4" w:rsidP="00B65FE4">
            <w:r>
              <w:t>$3000 - $5000</w:t>
            </w:r>
          </w:p>
        </w:tc>
      </w:tr>
      <w:tr w:rsidR="005C66E4" w14:paraId="19038456" w14:textId="77777777" w:rsidTr="00B32CA1">
        <w:trPr>
          <w:jc w:val="center"/>
        </w:trPr>
        <w:tc>
          <w:tcPr>
            <w:tcW w:w="4315" w:type="dxa"/>
            <w:vAlign w:val="center"/>
          </w:tcPr>
          <w:p w14:paraId="73EE082D" w14:textId="77777777" w:rsidR="005C66E4" w:rsidRDefault="005C66E4" w:rsidP="00B65FE4">
            <w:r>
              <w:t>TIER 2 (five to eleven faculty)</w:t>
            </w:r>
          </w:p>
        </w:tc>
        <w:tc>
          <w:tcPr>
            <w:tcW w:w="4315" w:type="dxa"/>
            <w:vAlign w:val="center"/>
          </w:tcPr>
          <w:p w14:paraId="0DBCA49B" w14:textId="77777777" w:rsidR="005C66E4" w:rsidRDefault="005C66E4" w:rsidP="00B65FE4">
            <w:r>
              <w:t>$5000 - $7000</w:t>
            </w:r>
          </w:p>
        </w:tc>
      </w:tr>
      <w:tr w:rsidR="005C66E4" w14:paraId="6571736B" w14:textId="77777777" w:rsidTr="00B32CA1">
        <w:trPr>
          <w:jc w:val="center"/>
        </w:trPr>
        <w:tc>
          <w:tcPr>
            <w:tcW w:w="4315" w:type="dxa"/>
            <w:vAlign w:val="center"/>
          </w:tcPr>
          <w:p w14:paraId="36F8894C" w14:textId="77777777" w:rsidR="005C66E4" w:rsidRDefault="005C66E4" w:rsidP="00B65FE4">
            <w:r>
              <w:t>TIER 3 (greater than eleven faculty)</w:t>
            </w:r>
          </w:p>
        </w:tc>
        <w:tc>
          <w:tcPr>
            <w:tcW w:w="4315" w:type="dxa"/>
            <w:vAlign w:val="center"/>
          </w:tcPr>
          <w:p w14:paraId="77B7E8F8" w14:textId="77777777" w:rsidR="005C66E4" w:rsidRDefault="005C66E4" w:rsidP="00B65FE4">
            <w:r>
              <w:t>$7000 - $10000</w:t>
            </w:r>
          </w:p>
        </w:tc>
      </w:tr>
    </w:tbl>
    <w:p w14:paraId="4C65BD7E" w14:textId="77777777" w:rsidR="005C66E4" w:rsidRDefault="005C66E4" w:rsidP="005C66E4">
      <w:pPr>
        <w:spacing w:after="0"/>
      </w:pPr>
    </w:p>
    <w:p w14:paraId="76235AA5" w14:textId="77777777" w:rsidR="005C66E4" w:rsidRDefault="005C66E4" w:rsidP="005C66E4">
      <w:pPr>
        <w:pStyle w:val="ListParagraph"/>
        <w:numPr>
          <w:ilvl w:val="0"/>
          <w:numId w:val="38"/>
        </w:numPr>
        <w:spacing w:after="0" w:line="276" w:lineRule="auto"/>
      </w:pPr>
      <w:r>
        <w:t xml:space="preserve">Deans may recommend to the Vice Chancellor for Academic Affairs that Chairs of departments with a substantially large student-to-faculty ratio be compensated at a higher rate.  </w:t>
      </w:r>
    </w:p>
    <w:p w14:paraId="45595DE8" w14:textId="77777777" w:rsidR="005C66E4" w:rsidRDefault="005C66E4" w:rsidP="005C66E4">
      <w:pPr>
        <w:pStyle w:val="ListParagraph"/>
        <w:numPr>
          <w:ilvl w:val="0"/>
          <w:numId w:val="38"/>
        </w:numPr>
        <w:spacing w:after="0" w:line="276" w:lineRule="auto"/>
      </w:pPr>
      <w:r>
        <w:t xml:space="preserve">Departments with greater than 20 full-time faculty members are </w:t>
      </w:r>
      <w:proofErr w:type="gramStart"/>
      <w:r>
        <w:t>authorized</w:t>
      </w:r>
      <w:proofErr w:type="gramEnd"/>
      <w:r>
        <w:t xml:space="preserve"> an Associate Chair.  Associate Chair compensation will be determined by the Vice Chancellor for Academic Affairs based on recommendations and justification from Deans.</w:t>
      </w:r>
    </w:p>
    <w:p w14:paraId="107471C3" w14:textId="77777777" w:rsidR="005C66E4" w:rsidRDefault="005C66E4" w:rsidP="005C66E4">
      <w:pPr>
        <w:pStyle w:val="ListParagraph"/>
        <w:numPr>
          <w:ilvl w:val="0"/>
          <w:numId w:val="38"/>
        </w:numPr>
        <w:spacing w:after="0" w:line="276" w:lineRule="auto"/>
      </w:pPr>
      <w:r>
        <w:t>Twelve-month Department Chairs receive no additional compensation for the Summer Semesters</w:t>
      </w:r>
    </w:p>
    <w:p w14:paraId="5E3D0F91" w14:textId="77777777" w:rsidR="005C66E4" w:rsidRPr="00ED1AAA" w:rsidRDefault="005C66E4" w:rsidP="005C66E4">
      <w:pPr>
        <w:pStyle w:val="ListParagraph"/>
        <w:numPr>
          <w:ilvl w:val="0"/>
          <w:numId w:val="38"/>
        </w:numPr>
        <w:spacing w:after="0" w:line="276" w:lineRule="auto"/>
      </w:pPr>
      <w:r w:rsidRPr="00ED1AAA">
        <w:t>Nine-month Department Chairs earn 2/9 (0.2222) of their nine-month base salary for the summer and are required to teach three hours during the Summer Semester.</w:t>
      </w:r>
    </w:p>
    <w:p w14:paraId="678B23B0" w14:textId="77777777" w:rsidR="005C66E4" w:rsidRDefault="005C66E4" w:rsidP="005C66E4">
      <w:pPr>
        <w:pStyle w:val="ListParagraph"/>
        <w:numPr>
          <w:ilvl w:val="0"/>
          <w:numId w:val="38"/>
        </w:numPr>
        <w:spacing w:after="0" w:line="276" w:lineRule="auto"/>
      </w:pPr>
      <w:r w:rsidRPr="00BC4060">
        <w:t>Nine-month Department Chairs will be paid in equal installments over the nine-month period.  Twelve-month Department Chairs will be paid in twelve monthly installments.</w:t>
      </w:r>
    </w:p>
    <w:p w14:paraId="272FE2C1" w14:textId="77777777" w:rsidR="000B0974" w:rsidRDefault="000B0974" w:rsidP="000B0974">
      <w:pPr>
        <w:spacing w:after="0" w:line="276" w:lineRule="auto"/>
      </w:pPr>
    </w:p>
    <w:p w14:paraId="338F1E09" w14:textId="77777777" w:rsidR="000B0974" w:rsidRDefault="000B0974" w:rsidP="000B0974">
      <w:pPr>
        <w:spacing w:after="0" w:line="276" w:lineRule="auto"/>
      </w:pPr>
    </w:p>
    <w:p w14:paraId="109DE0DD" w14:textId="77777777" w:rsidR="000B0974" w:rsidRDefault="000B0974" w:rsidP="000B0974">
      <w:pPr>
        <w:spacing w:after="0" w:line="276" w:lineRule="auto"/>
      </w:pPr>
    </w:p>
    <w:p w14:paraId="5070E7BA" w14:textId="77777777" w:rsidR="0097473A" w:rsidRDefault="0097473A" w:rsidP="0097473A">
      <w:pPr>
        <w:spacing w:after="0" w:line="276" w:lineRule="auto"/>
      </w:pPr>
    </w:p>
    <w:p w14:paraId="09659334" w14:textId="1C863912" w:rsidR="000B0974" w:rsidRPr="000B0974" w:rsidRDefault="000B0974" w:rsidP="000B0974">
      <w:pPr>
        <w:spacing w:after="0" w:line="276" w:lineRule="auto"/>
        <w:rPr>
          <w:b/>
          <w:bCs/>
          <w:color w:val="461D7C"/>
        </w:rPr>
      </w:pPr>
      <w:r w:rsidRPr="000B0974">
        <w:rPr>
          <w:b/>
          <w:bCs/>
          <w:color w:val="461D7C"/>
        </w:rPr>
        <w:lastRenderedPageBreak/>
        <w:t>APPENDIX F to LSUS Policy Statement 2.33.0</w:t>
      </w:r>
      <w:r>
        <w:rPr>
          <w:b/>
          <w:bCs/>
          <w:color w:val="461D7C"/>
        </w:rPr>
        <w:t>5</w:t>
      </w:r>
    </w:p>
    <w:p w14:paraId="36635F55" w14:textId="18CCD748" w:rsidR="0097473A" w:rsidRPr="00BC4060" w:rsidRDefault="000B0974" w:rsidP="000B0974">
      <w:pPr>
        <w:spacing w:after="0" w:line="276" w:lineRule="auto"/>
      </w:pPr>
      <w:r w:rsidRPr="000B0974">
        <w:rPr>
          <w:b/>
          <w:bCs/>
          <w:color w:val="461D7C"/>
        </w:rPr>
        <w:t>GRADUATE PROGRAM DIRECTOR COMPENSATION</w:t>
      </w:r>
    </w:p>
    <w:p w14:paraId="16E29DC4" w14:textId="77777777" w:rsidR="00D019AE" w:rsidRDefault="00D019AE" w:rsidP="00D019AE">
      <w:pPr>
        <w:spacing w:after="0"/>
        <w:rPr>
          <w:b/>
        </w:rPr>
      </w:pPr>
    </w:p>
    <w:p w14:paraId="5F0F5FD8" w14:textId="77777777" w:rsidR="00446A25" w:rsidRPr="005C40DC" w:rsidRDefault="00446A25" w:rsidP="00446A25">
      <w:pPr>
        <w:pStyle w:val="ListParagraph"/>
        <w:numPr>
          <w:ilvl w:val="0"/>
          <w:numId w:val="39"/>
        </w:numPr>
        <w:spacing w:after="0" w:line="276" w:lineRule="auto"/>
      </w:pPr>
      <w:r>
        <w:t>Because graduate programs are significantly different across the University, compensation for Graduate Program Directors may also vary significantly.</w:t>
      </w:r>
    </w:p>
    <w:p w14:paraId="6BDCC652" w14:textId="77777777" w:rsidR="00446A25" w:rsidRDefault="00446A25" w:rsidP="00446A25">
      <w:pPr>
        <w:pStyle w:val="ListParagraph"/>
        <w:numPr>
          <w:ilvl w:val="0"/>
          <w:numId w:val="39"/>
        </w:numPr>
        <w:spacing w:after="0" w:line="276" w:lineRule="auto"/>
      </w:pPr>
      <w:r>
        <w:t>Graduate Program Director compensation may consist of a course download, stipend, or combination of both.  Additional compensation consideration should be given to program size, complexity, and resources available to the Director.</w:t>
      </w:r>
    </w:p>
    <w:p w14:paraId="0FB1245D" w14:textId="77777777" w:rsidR="00446A25" w:rsidRDefault="00446A25" w:rsidP="00446A25">
      <w:pPr>
        <w:pStyle w:val="ListParagraph"/>
        <w:numPr>
          <w:ilvl w:val="0"/>
          <w:numId w:val="39"/>
        </w:numPr>
        <w:spacing w:after="0" w:line="276" w:lineRule="auto"/>
      </w:pPr>
      <w:r>
        <w:t>Based on program size, graduate programs are assigned a tier, as follows:</w:t>
      </w:r>
    </w:p>
    <w:p w14:paraId="19CCBEE8" w14:textId="2BB0DA3E" w:rsidR="00446A25" w:rsidRDefault="00446A25" w:rsidP="00446A25">
      <w:pPr>
        <w:pStyle w:val="ListParagraph"/>
        <w:spacing w:after="0"/>
        <w:ind w:left="1440"/>
      </w:pPr>
      <w:r>
        <w:t>TIER 1: Fifteen or fewer students</w:t>
      </w:r>
    </w:p>
    <w:p w14:paraId="5EC489D2" w14:textId="78B45B16" w:rsidR="00446A25" w:rsidRDefault="00446A25" w:rsidP="00446A25">
      <w:pPr>
        <w:pStyle w:val="ListParagraph"/>
        <w:spacing w:after="0"/>
        <w:ind w:left="1440"/>
      </w:pPr>
      <w:r>
        <w:t>TIER 2:</w:t>
      </w:r>
      <w:r w:rsidR="00F86AEB">
        <w:t xml:space="preserve"> </w:t>
      </w:r>
      <w:r>
        <w:t>Sixteen to thirty-five students</w:t>
      </w:r>
    </w:p>
    <w:p w14:paraId="34E81854" w14:textId="69DD9639" w:rsidR="00446A25" w:rsidRDefault="00446A25" w:rsidP="00446A25">
      <w:pPr>
        <w:pStyle w:val="ListParagraph"/>
        <w:spacing w:after="0"/>
        <w:ind w:left="1440"/>
      </w:pPr>
      <w:r>
        <w:t>TIER 3:</w:t>
      </w:r>
      <w:r w:rsidR="00F86AEB">
        <w:t xml:space="preserve"> </w:t>
      </w:r>
      <w:r>
        <w:t>Thirty-six to seventy-five students</w:t>
      </w:r>
    </w:p>
    <w:p w14:paraId="46FA1C97" w14:textId="736C8BAC" w:rsidR="00446A25" w:rsidRDefault="00446A25" w:rsidP="00446A25">
      <w:pPr>
        <w:pStyle w:val="ListParagraph"/>
        <w:spacing w:after="0"/>
        <w:ind w:left="1440"/>
      </w:pPr>
      <w:r>
        <w:t>TIER 4:</w:t>
      </w:r>
      <w:r w:rsidR="00F86AEB">
        <w:t xml:space="preserve"> </w:t>
      </w:r>
      <w:r>
        <w:t>Seventy-six students or more</w:t>
      </w:r>
    </w:p>
    <w:p w14:paraId="0427B10A" w14:textId="77777777" w:rsidR="00446A25" w:rsidRDefault="00446A25" w:rsidP="00446A25">
      <w:pPr>
        <w:pStyle w:val="ListParagraph"/>
        <w:numPr>
          <w:ilvl w:val="0"/>
          <w:numId w:val="39"/>
        </w:numPr>
        <w:spacing w:after="0" w:line="276" w:lineRule="auto"/>
      </w:pPr>
      <w:r>
        <w:t>Student headcount will be as of census day for the traditional Fall Semester.</w:t>
      </w:r>
    </w:p>
    <w:p w14:paraId="01BF7A7E" w14:textId="77777777" w:rsidR="00446A25" w:rsidRDefault="00446A25" w:rsidP="00446A25">
      <w:pPr>
        <w:pStyle w:val="ListParagraph"/>
        <w:numPr>
          <w:ilvl w:val="0"/>
          <w:numId w:val="39"/>
        </w:numPr>
        <w:spacing w:after="0" w:line="276" w:lineRule="auto"/>
      </w:pPr>
      <w:r>
        <w:t>Graduate Program Director appointments should be made with an Offer Letter.</w:t>
      </w:r>
    </w:p>
    <w:p w14:paraId="29CAED8B" w14:textId="77777777" w:rsidR="00446A25" w:rsidRDefault="00446A25" w:rsidP="00446A25">
      <w:pPr>
        <w:pStyle w:val="ListParagraph"/>
        <w:numPr>
          <w:ilvl w:val="0"/>
          <w:numId w:val="39"/>
        </w:numPr>
        <w:spacing w:after="0" w:line="276" w:lineRule="auto"/>
      </w:pPr>
      <w:r>
        <w:t>The following chart will be used to determine appropriate Graduate Program Director annual compensation:</w:t>
      </w:r>
    </w:p>
    <w:p w14:paraId="05E42C94" w14:textId="77777777" w:rsidR="000B0974" w:rsidRDefault="000B0974" w:rsidP="00D019AE">
      <w:pPr>
        <w:spacing w:after="0"/>
        <w:rPr>
          <w:b/>
        </w:rPr>
      </w:pPr>
    </w:p>
    <w:tbl>
      <w:tblPr>
        <w:tblStyle w:val="TableGrid"/>
        <w:tblW w:w="10440" w:type="dxa"/>
        <w:jc w:val="center"/>
        <w:tblLook w:val="04A0" w:firstRow="1" w:lastRow="0" w:firstColumn="1" w:lastColumn="0" w:noHBand="0" w:noVBand="1"/>
      </w:tblPr>
      <w:tblGrid>
        <w:gridCol w:w="3510"/>
        <w:gridCol w:w="3330"/>
        <w:gridCol w:w="3600"/>
      </w:tblGrid>
      <w:tr w:rsidR="00FD5C33" w14:paraId="167A81A2" w14:textId="77777777" w:rsidTr="00FD5C33">
        <w:trPr>
          <w:jc w:val="center"/>
        </w:trPr>
        <w:tc>
          <w:tcPr>
            <w:tcW w:w="3510" w:type="dxa"/>
            <w:vAlign w:val="center"/>
          </w:tcPr>
          <w:p w14:paraId="7461133E" w14:textId="77777777" w:rsidR="00FD5C33" w:rsidRPr="00892ED8" w:rsidRDefault="00FD5C33" w:rsidP="00B65FE4">
            <w:pPr>
              <w:jc w:val="center"/>
              <w:rPr>
                <w:b/>
              </w:rPr>
            </w:pPr>
            <w:r>
              <w:rPr>
                <w:b/>
              </w:rPr>
              <w:t>TIER</w:t>
            </w:r>
          </w:p>
        </w:tc>
        <w:tc>
          <w:tcPr>
            <w:tcW w:w="3330" w:type="dxa"/>
            <w:vAlign w:val="center"/>
          </w:tcPr>
          <w:p w14:paraId="4B2C3493" w14:textId="77777777" w:rsidR="00FD5C33" w:rsidRPr="00892ED8" w:rsidRDefault="00FD5C33" w:rsidP="00B65FE4">
            <w:pPr>
              <w:jc w:val="center"/>
              <w:rPr>
                <w:b/>
              </w:rPr>
            </w:pPr>
            <w:r>
              <w:rPr>
                <w:b/>
              </w:rPr>
              <w:t>ANNUAL STIPEND RANGE</w:t>
            </w:r>
          </w:p>
        </w:tc>
        <w:tc>
          <w:tcPr>
            <w:tcW w:w="3600" w:type="dxa"/>
            <w:vAlign w:val="center"/>
          </w:tcPr>
          <w:p w14:paraId="79E9B966" w14:textId="77777777" w:rsidR="00FD5C33" w:rsidRPr="00892ED8" w:rsidRDefault="00FD5C33" w:rsidP="00B65FE4">
            <w:pPr>
              <w:jc w:val="center"/>
              <w:rPr>
                <w:b/>
              </w:rPr>
            </w:pPr>
            <w:r>
              <w:rPr>
                <w:b/>
              </w:rPr>
              <w:t>MAXIMUM COURSE DOWNLOAD (per semester)</w:t>
            </w:r>
          </w:p>
        </w:tc>
      </w:tr>
      <w:tr w:rsidR="00FD5C33" w14:paraId="4ADDE6AD" w14:textId="77777777" w:rsidTr="00FD5C33">
        <w:trPr>
          <w:jc w:val="center"/>
        </w:trPr>
        <w:tc>
          <w:tcPr>
            <w:tcW w:w="3510" w:type="dxa"/>
            <w:vAlign w:val="center"/>
          </w:tcPr>
          <w:p w14:paraId="74CBD5D3" w14:textId="77777777" w:rsidR="00FD5C33" w:rsidRDefault="00FD5C33" w:rsidP="00B65FE4">
            <w:r w:rsidRPr="00892ED8">
              <w:t>TIER 1</w:t>
            </w:r>
            <w:r>
              <w:t xml:space="preserve"> </w:t>
            </w:r>
          </w:p>
          <w:p w14:paraId="4AD705C6" w14:textId="77777777" w:rsidR="00FD5C33" w:rsidRPr="00892ED8" w:rsidRDefault="00FD5C33" w:rsidP="00B65FE4">
            <w:r w:rsidRPr="00892ED8">
              <w:t>(fifteen or fewer students)</w:t>
            </w:r>
          </w:p>
        </w:tc>
        <w:tc>
          <w:tcPr>
            <w:tcW w:w="3330" w:type="dxa"/>
            <w:vAlign w:val="center"/>
          </w:tcPr>
          <w:p w14:paraId="36055C2A" w14:textId="77777777" w:rsidR="00FD5C33" w:rsidRPr="00892ED8" w:rsidRDefault="00FD5C33" w:rsidP="00B65FE4">
            <w:r>
              <w:t>$3000 - $4000</w:t>
            </w:r>
          </w:p>
        </w:tc>
        <w:tc>
          <w:tcPr>
            <w:tcW w:w="3600" w:type="dxa"/>
            <w:vAlign w:val="center"/>
          </w:tcPr>
          <w:p w14:paraId="06AD8BEE" w14:textId="77777777" w:rsidR="00FD5C33" w:rsidRPr="00892ED8" w:rsidRDefault="00FD5C33" w:rsidP="00B65FE4">
            <w:r>
              <w:t>3 hours</w:t>
            </w:r>
          </w:p>
        </w:tc>
      </w:tr>
      <w:tr w:rsidR="00FD5C33" w14:paraId="7A1578C4" w14:textId="77777777" w:rsidTr="00FD5C33">
        <w:trPr>
          <w:jc w:val="center"/>
        </w:trPr>
        <w:tc>
          <w:tcPr>
            <w:tcW w:w="3510" w:type="dxa"/>
            <w:vAlign w:val="center"/>
          </w:tcPr>
          <w:p w14:paraId="3DE7640C" w14:textId="77777777" w:rsidR="00FD5C33" w:rsidRDefault="00FD5C33" w:rsidP="00B65FE4">
            <w:r>
              <w:t xml:space="preserve">TIER 2 </w:t>
            </w:r>
          </w:p>
          <w:p w14:paraId="70F5FB18" w14:textId="77777777" w:rsidR="00FD5C33" w:rsidRPr="00892ED8" w:rsidRDefault="00FD5C33" w:rsidP="00B65FE4">
            <w:r w:rsidRPr="00892ED8">
              <w:t>(sixteen to thirty-five students)</w:t>
            </w:r>
          </w:p>
        </w:tc>
        <w:tc>
          <w:tcPr>
            <w:tcW w:w="3330" w:type="dxa"/>
            <w:vAlign w:val="center"/>
          </w:tcPr>
          <w:p w14:paraId="27AEC6A6" w14:textId="77777777" w:rsidR="00FD5C33" w:rsidRPr="00892ED8" w:rsidRDefault="00FD5C33" w:rsidP="00B65FE4">
            <w:r>
              <w:t>$4500 - $6000</w:t>
            </w:r>
          </w:p>
        </w:tc>
        <w:tc>
          <w:tcPr>
            <w:tcW w:w="3600" w:type="dxa"/>
            <w:vAlign w:val="center"/>
          </w:tcPr>
          <w:p w14:paraId="77079CC0" w14:textId="77777777" w:rsidR="00FD5C33" w:rsidRPr="00892ED8" w:rsidRDefault="00FD5C33" w:rsidP="00B65FE4">
            <w:r>
              <w:t>3 hours</w:t>
            </w:r>
          </w:p>
        </w:tc>
      </w:tr>
      <w:tr w:rsidR="00FD5C33" w14:paraId="57A58253" w14:textId="77777777" w:rsidTr="00FD5C33">
        <w:trPr>
          <w:jc w:val="center"/>
        </w:trPr>
        <w:tc>
          <w:tcPr>
            <w:tcW w:w="3510" w:type="dxa"/>
            <w:vAlign w:val="center"/>
          </w:tcPr>
          <w:p w14:paraId="24C703B2" w14:textId="77777777" w:rsidR="00FD5C33" w:rsidRDefault="00FD5C33" w:rsidP="00B65FE4">
            <w:r>
              <w:t xml:space="preserve">TIER 3 </w:t>
            </w:r>
          </w:p>
          <w:p w14:paraId="01E58D53" w14:textId="77777777" w:rsidR="00FD5C33" w:rsidRPr="00892ED8" w:rsidRDefault="00FD5C33" w:rsidP="00B65FE4">
            <w:r w:rsidRPr="00892ED8">
              <w:t>(thirty-six to seventy-five students</w:t>
            </w:r>
            <w:r>
              <w:t>)</w:t>
            </w:r>
          </w:p>
        </w:tc>
        <w:tc>
          <w:tcPr>
            <w:tcW w:w="3330" w:type="dxa"/>
            <w:vAlign w:val="center"/>
          </w:tcPr>
          <w:p w14:paraId="5E6B4B78" w14:textId="77777777" w:rsidR="00FD5C33" w:rsidRPr="00892ED8" w:rsidRDefault="00FD5C33" w:rsidP="00B65FE4">
            <w:r>
              <w:t>$6000 - $7500</w:t>
            </w:r>
          </w:p>
        </w:tc>
        <w:tc>
          <w:tcPr>
            <w:tcW w:w="3600" w:type="dxa"/>
            <w:vAlign w:val="center"/>
          </w:tcPr>
          <w:p w14:paraId="553B1BC7" w14:textId="77777777" w:rsidR="00FD5C33" w:rsidRPr="00892ED8" w:rsidRDefault="00FD5C33" w:rsidP="00B65FE4">
            <w:r>
              <w:t>6 hours</w:t>
            </w:r>
          </w:p>
        </w:tc>
      </w:tr>
      <w:tr w:rsidR="00FD5C33" w14:paraId="44639DD0" w14:textId="77777777" w:rsidTr="00FD5C33">
        <w:trPr>
          <w:jc w:val="center"/>
        </w:trPr>
        <w:tc>
          <w:tcPr>
            <w:tcW w:w="3510" w:type="dxa"/>
            <w:vAlign w:val="center"/>
          </w:tcPr>
          <w:p w14:paraId="03858C9D" w14:textId="77777777" w:rsidR="00FD5C33" w:rsidRDefault="00FD5C33" w:rsidP="00B65FE4">
            <w:r>
              <w:t xml:space="preserve">TIER 4 </w:t>
            </w:r>
          </w:p>
          <w:p w14:paraId="35700A13" w14:textId="77777777" w:rsidR="00FD5C33" w:rsidRDefault="00FD5C33" w:rsidP="00B65FE4">
            <w:r w:rsidRPr="00892ED8">
              <w:t>(seventy-six students or more)</w:t>
            </w:r>
          </w:p>
        </w:tc>
        <w:tc>
          <w:tcPr>
            <w:tcW w:w="3330" w:type="dxa"/>
            <w:vAlign w:val="center"/>
          </w:tcPr>
          <w:p w14:paraId="263F46BB" w14:textId="77777777" w:rsidR="00FD5C33" w:rsidRDefault="00FD5C33" w:rsidP="00B65FE4">
            <w:r>
              <w:t>-determined by Vice Chancellor for Academic Affairs</w:t>
            </w:r>
          </w:p>
          <w:p w14:paraId="648946E1" w14:textId="77777777" w:rsidR="00FD5C33" w:rsidRDefault="00FD5C33" w:rsidP="00B65FE4">
            <w:r>
              <w:t>-approved by Chancellor</w:t>
            </w:r>
          </w:p>
        </w:tc>
        <w:tc>
          <w:tcPr>
            <w:tcW w:w="3600" w:type="dxa"/>
            <w:vAlign w:val="center"/>
          </w:tcPr>
          <w:p w14:paraId="01710281" w14:textId="77777777" w:rsidR="00FD5C33" w:rsidRDefault="00FD5C33" w:rsidP="00B65FE4">
            <w:r>
              <w:t>-determined by Vice Chancellor for Academic Affairs</w:t>
            </w:r>
          </w:p>
          <w:p w14:paraId="6779BD64" w14:textId="77777777" w:rsidR="00FD5C33" w:rsidRDefault="00FD5C33" w:rsidP="00B65FE4">
            <w:r>
              <w:t>-approved by Chancellor</w:t>
            </w:r>
          </w:p>
        </w:tc>
      </w:tr>
    </w:tbl>
    <w:p w14:paraId="40CD9142" w14:textId="77777777" w:rsidR="000B0974" w:rsidRDefault="000B0974" w:rsidP="00D019AE">
      <w:pPr>
        <w:spacing w:after="0"/>
        <w:rPr>
          <w:b/>
        </w:rPr>
      </w:pPr>
    </w:p>
    <w:p w14:paraId="3E5305AF" w14:textId="77777777" w:rsidR="0068495B" w:rsidRDefault="0068495B" w:rsidP="00D019AE">
      <w:pPr>
        <w:spacing w:after="0"/>
        <w:rPr>
          <w:b/>
        </w:rPr>
      </w:pPr>
    </w:p>
    <w:p w14:paraId="3B81B6DA" w14:textId="77777777" w:rsidR="0068495B" w:rsidRDefault="0068495B" w:rsidP="00D019AE">
      <w:pPr>
        <w:spacing w:after="0"/>
        <w:rPr>
          <w:b/>
        </w:rPr>
      </w:pPr>
    </w:p>
    <w:p w14:paraId="00357CD8" w14:textId="77777777" w:rsidR="0068495B" w:rsidRDefault="0068495B" w:rsidP="00D019AE">
      <w:pPr>
        <w:spacing w:after="0"/>
        <w:rPr>
          <w:b/>
        </w:rPr>
      </w:pPr>
    </w:p>
    <w:p w14:paraId="578F0858" w14:textId="77777777" w:rsidR="0068495B" w:rsidRDefault="0068495B" w:rsidP="00D019AE">
      <w:pPr>
        <w:spacing w:after="0"/>
        <w:rPr>
          <w:b/>
        </w:rPr>
      </w:pPr>
    </w:p>
    <w:p w14:paraId="2085AB60" w14:textId="77777777" w:rsidR="0068495B" w:rsidRDefault="0068495B" w:rsidP="00D019AE">
      <w:pPr>
        <w:spacing w:after="0"/>
        <w:rPr>
          <w:b/>
        </w:rPr>
      </w:pPr>
    </w:p>
    <w:p w14:paraId="47A980E2" w14:textId="77777777" w:rsidR="0068495B" w:rsidRDefault="0068495B" w:rsidP="00D019AE">
      <w:pPr>
        <w:spacing w:after="0"/>
        <w:rPr>
          <w:b/>
        </w:rPr>
      </w:pPr>
    </w:p>
    <w:p w14:paraId="51A9AD11" w14:textId="77777777" w:rsidR="0068495B" w:rsidRPr="005C40DC" w:rsidRDefault="0068495B" w:rsidP="00D019AE">
      <w:pPr>
        <w:spacing w:after="0"/>
        <w:rPr>
          <w:b/>
        </w:rPr>
      </w:pPr>
    </w:p>
    <w:p w14:paraId="34B6B0ED" w14:textId="60553620" w:rsidR="000F4FAE" w:rsidRPr="000F4FAE" w:rsidRDefault="000F4FAE" w:rsidP="000F4FAE">
      <w:pPr>
        <w:spacing w:after="0" w:line="276" w:lineRule="auto"/>
        <w:rPr>
          <w:b/>
          <w:bCs/>
          <w:color w:val="461D7C"/>
        </w:rPr>
      </w:pPr>
      <w:r w:rsidRPr="000F4FAE">
        <w:rPr>
          <w:b/>
          <w:bCs/>
          <w:color w:val="461D7C"/>
        </w:rPr>
        <w:lastRenderedPageBreak/>
        <w:t>Appendix G to LSUS Policy Statement 2.33.0</w:t>
      </w:r>
      <w:r w:rsidR="005A3FE7">
        <w:rPr>
          <w:b/>
          <w:bCs/>
          <w:color w:val="461D7C"/>
        </w:rPr>
        <w:t>5</w:t>
      </w:r>
    </w:p>
    <w:p w14:paraId="01770723" w14:textId="28CB8675" w:rsidR="0037797A" w:rsidRDefault="000F4FAE" w:rsidP="000F4FAE">
      <w:pPr>
        <w:spacing w:after="0" w:line="276" w:lineRule="auto"/>
        <w:rPr>
          <w:b/>
          <w:bCs/>
          <w:color w:val="461D7C"/>
        </w:rPr>
      </w:pPr>
      <w:r w:rsidRPr="000F4FAE">
        <w:rPr>
          <w:b/>
          <w:bCs/>
          <w:color w:val="461D7C"/>
        </w:rPr>
        <w:t>COMPENSATION ADJUSTMENT FOR DEGREE ATTAINMENT WHILE EMPLOYED AT LSUS</w:t>
      </w:r>
    </w:p>
    <w:p w14:paraId="3AD4585E" w14:textId="77777777" w:rsidR="000F4FAE" w:rsidRDefault="000F4FAE" w:rsidP="000F4FAE">
      <w:pPr>
        <w:spacing w:after="0" w:line="276" w:lineRule="auto"/>
        <w:rPr>
          <w:b/>
          <w:bCs/>
          <w:color w:val="461D7C"/>
        </w:rPr>
      </w:pPr>
    </w:p>
    <w:p w14:paraId="5DEBFA10" w14:textId="77777777" w:rsidR="000C41E1" w:rsidRPr="00ED1AAA" w:rsidRDefault="000C41E1" w:rsidP="000C41E1">
      <w:pPr>
        <w:spacing w:after="0"/>
        <w:ind w:left="360"/>
      </w:pPr>
      <w:r w:rsidRPr="00ED1AAA">
        <w:t>This addendum establishes guidelines for salary adjustments for eligible employees who begin and/or complete an accredited academic degree program while employed at Louisiana State University Shreveport (LSUS). Per LSU Board of Supervisors Regulations Article III, Section 2, any leave associated with degree attainment must be approved through a faculty member’s supervisor. The University supports continued education and professional development that enhances institutional effectiveness and employee growth. This policy applies to all full-time benefits-eligible faculty of LSUS</w:t>
      </w:r>
    </w:p>
    <w:p w14:paraId="6BB8F51F" w14:textId="1DA5F896" w:rsidR="000C41E1" w:rsidRPr="00ED1AAA" w:rsidRDefault="000C41E1" w:rsidP="00725978">
      <w:pPr>
        <w:pStyle w:val="ListParagraph"/>
        <w:numPr>
          <w:ilvl w:val="0"/>
          <w:numId w:val="40"/>
        </w:numPr>
        <w:spacing w:after="0"/>
      </w:pPr>
      <w:r w:rsidRPr="00ED1AAA">
        <w:t>Eligibility Requirements</w:t>
      </w:r>
      <w:r w:rsidR="00A67A01">
        <w:t xml:space="preserve"> t</w:t>
      </w:r>
      <w:r w:rsidRPr="00ED1AAA">
        <w:t>o qualify for compensation adjustment under this policy:</w:t>
      </w:r>
    </w:p>
    <w:p w14:paraId="31A0A770" w14:textId="5FC49248" w:rsidR="000C41E1" w:rsidRPr="00ED1AAA" w:rsidRDefault="00A67A01" w:rsidP="000E5F43">
      <w:pPr>
        <w:ind w:left="2160"/>
      </w:pPr>
      <w:r>
        <w:t>1</w:t>
      </w:r>
      <w:r w:rsidR="00207432">
        <w:t>.</w:t>
      </w:r>
      <w:r w:rsidR="000C41E1" w:rsidRPr="00ED1AAA">
        <w:t xml:space="preserve">The faculty member must be actively employed in good </w:t>
      </w:r>
      <w:r w:rsidR="00207432">
        <w:t xml:space="preserve">     </w:t>
      </w:r>
      <w:r w:rsidR="000C41E1" w:rsidRPr="00ED1AAA">
        <w:t>standing at LSUS at the time the degree is conferred.</w:t>
      </w:r>
    </w:p>
    <w:p w14:paraId="7B445338" w14:textId="132CCBE5" w:rsidR="000C41E1" w:rsidRPr="00ED1AAA" w:rsidRDefault="000C41E1" w:rsidP="000E5F43">
      <w:pPr>
        <w:ind w:left="2160"/>
      </w:pPr>
      <w:r w:rsidRPr="00ED1AAA">
        <w:t>2.The degree must be earned from a regionally accredited institution.</w:t>
      </w:r>
    </w:p>
    <w:p w14:paraId="07397BE4" w14:textId="3896CDB5" w:rsidR="000C41E1" w:rsidRPr="00ED1AAA" w:rsidRDefault="000C41E1" w:rsidP="000E5F43">
      <w:pPr>
        <w:ind w:left="2160"/>
      </w:pPr>
      <w:r w:rsidRPr="00ED1AAA">
        <w:t>3.The degree must be relevant to the faculty members’ teaching discipline, as determined by the department Chair and Dean. Faculty intending to pursue an advanced degree should discuss their plan with their department Chair before beginning the program, to make sure that the proposed course of study is eligible for salary adjustment under this policy.</w:t>
      </w:r>
    </w:p>
    <w:p w14:paraId="435286B6" w14:textId="1D9D73CC" w:rsidR="000C41E1" w:rsidRPr="00ED1AAA" w:rsidRDefault="000C41E1" w:rsidP="000E5F43">
      <w:pPr>
        <w:ind w:left="2160"/>
      </w:pPr>
      <w:r w:rsidRPr="00ED1AAA">
        <w:t>4.Official transcripts must be submitted to Human Resources prior to adjustment approval.</w:t>
      </w:r>
    </w:p>
    <w:p w14:paraId="5006C663" w14:textId="3C702C94" w:rsidR="000C41E1" w:rsidRPr="00ED1AAA" w:rsidRDefault="000C41E1" w:rsidP="000E5F43">
      <w:pPr>
        <w:ind w:left="2160"/>
      </w:pPr>
      <w:r w:rsidRPr="00ED1AAA">
        <w:t>5.The degree must have begun and/or completed during the employee’s period of employment at LSUS.</w:t>
      </w:r>
    </w:p>
    <w:p w14:paraId="223D5C48" w14:textId="77777777" w:rsidR="000C41E1" w:rsidRPr="00ED1AAA" w:rsidRDefault="000C41E1" w:rsidP="000C41E1">
      <w:pPr>
        <w:spacing w:after="0"/>
        <w:ind w:left="360"/>
      </w:pPr>
    </w:p>
    <w:p w14:paraId="270A04E8" w14:textId="2772236D" w:rsidR="000C41E1" w:rsidRPr="00ED1AAA" w:rsidRDefault="000E5F43" w:rsidP="007F0706">
      <w:pPr>
        <w:ind w:left="720"/>
      </w:pPr>
      <w:r>
        <w:t xml:space="preserve">      </w:t>
      </w:r>
      <w:r w:rsidR="00F434F5">
        <w:t>B.</w:t>
      </w:r>
      <w:r w:rsidR="000C41E1" w:rsidRPr="00ED1AAA">
        <w:t xml:space="preserve"> Compensation Adjustment Formula</w:t>
      </w:r>
    </w:p>
    <w:p w14:paraId="466B0E73" w14:textId="0137E729" w:rsidR="000C41E1" w:rsidRDefault="000C41E1" w:rsidP="008A0F17">
      <w:pPr>
        <w:spacing w:after="0"/>
        <w:ind w:left="1440" w:firstLine="60"/>
      </w:pPr>
      <w:r w:rsidRPr="00ED1AAA">
        <w:t>Eligible faculty will receive a one-time base salary increase according to</w:t>
      </w:r>
    </w:p>
    <w:p w14:paraId="51A95737" w14:textId="0C40ECF6" w:rsidR="0077009C" w:rsidRDefault="008A0F17" w:rsidP="008A0F17">
      <w:pPr>
        <w:spacing w:after="0"/>
        <w:ind w:left="1440" w:firstLine="60"/>
      </w:pPr>
      <w:r w:rsidRPr="00ED1AAA">
        <w:t>t</w:t>
      </w:r>
      <w:r>
        <w:t>he</w:t>
      </w:r>
      <w:r w:rsidRPr="00ED1AAA">
        <w:t xml:space="preserve"> following structure:</w:t>
      </w:r>
    </w:p>
    <w:p w14:paraId="5F289E0B" w14:textId="77777777" w:rsidR="008A0F17" w:rsidRPr="00ED1AAA" w:rsidRDefault="008A0F17" w:rsidP="008A0F17">
      <w:pPr>
        <w:spacing w:after="0"/>
        <w:ind w:left="1440" w:firstLine="60"/>
      </w:pPr>
    </w:p>
    <w:p w14:paraId="14162746" w14:textId="1160C06C" w:rsidR="000C41E1" w:rsidRPr="00ED1AAA" w:rsidRDefault="000E5F43" w:rsidP="007F0706">
      <w:pPr>
        <w:ind w:left="1800" w:firstLine="360"/>
      </w:pPr>
      <w:r>
        <w:t xml:space="preserve">1. </w:t>
      </w:r>
      <w:r w:rsidR="000C41E1" w:rsidRPr="00ED1AAA">
        <w:t>Doctoral Degree (EdD, DBA, DHA, or PhD): $5,000</w:t>
      </w:r>
    </w:p>
    <w:p w14:paraId="30ED6593" w14:textId="60C36934" w:rsidR="000C41E1" w:rsidRPr="00ED1AAA" w:rsidRDefault="000E5F43" w:rsidP="007F0706">
      <w:pPr>
        <w:ind w:left="1440" w:firstLine="720"/>
      </w:pPr>
      <w:r>
        <w:lastRenderedPageBreak/>
        <w:t>2.</w:t>
      </w:r>
      <w:r w:rsidR="00BD63A5">
        <w:t xml:space="preserve"> </w:t>
      </w:r>
      <w:r w:rsidR="000C41E1" w:rsidRPr="00ED1AAA">
        <w:t>Master’s Degree: $2,500</w:t>
      </w:r>
    </w:p>
    <w:p w14:paraId="1E5E7446" w14:textId="43A7E1C8" w:rsidR="000C41E1" w:rsidRPr="00ED1AAA" w:rsidRDefault="00BD63A5" w:rsidP="007F0706">
      <w:pPr>
        <w:ind w:left="1080" w:firstLine="360"/>
      </w:pPr>
      <w:r>
        <w:t xml:space="preserve"> </w:t>
      </w:r>
      <w:r w:rsidR="000C41E1" w:rsidRPr="00ED1AAA">
        <w:t>Additional Guidelines:</w:t>
      </w:r>
    </w:p>
    <w:p w14:paraId="289F59ED" w14:textId="1EBA4DAF" w:rsidR="000C41E1" w:rsidRPr="00ED1AAA" w:rsidRDefault="00A779DF" w:rsidP="007F0706">
      <w:pPr>
        <w:ind w:left="2160"/>
      </w:pPr>
      <w:r>
        <w:t xml:space="preserve">1. </w:t>
      </w:r>
      <w:r w:rsidR="000C41E1" w:rsidRPr="00ED1AAA">
        <w:t xml:space="preserve">The increase will be added to the faculty member’s base salary </w:t>
      </w:r>
      <w:r>
        <w:t xml:space="preserve">   </w:t>
      </w:r>
      <w:r w:rsidR="000C41E1" w:rsidRPr="00ED1AAA">
        <w:t>and is not a one-time bonus.</w:t>
      </w:r>
    </w:p>
    <w:p w14:paraId="0449B14B" w14:textId="635B00A2" w:rsidR="000C41E1" w:rsidRPr="00ED1AAA" w:rsidRDefault="00A779DF" w:rsidP="007F0706">
      <w:pPr>
        <w:ind w:left="1800" w:firstLine="360"/>
      </w:pPr>
      <w:r>
        <w:t xml:space="preserve">2. </w:t>
      </w:r>
      <w:r w:rsidR="000C41E1" w:rsidRPr="00ED1AAA">
        <w:t>Only one adjustment per degree level will be granted.</w:t>
      </w:r>
    </w:p>
    <w:p w14:paraId="1A2335B5" w14:textId="779A37C8" w:rsidR="000C41E1" w:rsidRPr="00ED1AAA" w:rsidRDefault="00A779DF" w:rsidP="007F0706">
      <w:pPr>
        <w:ind w:left="2160"/>
      </w:pPr>
      <w:r>
        <w:t xml:space="preserve">3. </w:t>
      </w:r>
      <w:r w:rsidR="000C41E1" w:rsidRPr="00ED1AAA">
        <w:t xml:space="preserve">If an employee earns multiple degrees at the same level, </w:t>
      </w:r>
      <w:r w:rsidR="00F434F5" w:rsidRPr="00ED1AAA">
        <w:t xml:space="preserve">only </w:t>
      </w:r>
      <w:r w:rsidR="00F434F5">
        <w:t>one</w:t>
      </w:r>
      <w:r w:rsidR="000C41E1" w:rsidRPr="00ED1AAA">
        <w:t xml:space="preserve"> salary adjustment will apply.</w:t>
      </w:r>
    </w:p>
    <w:p w14:paraId="53D021B7" w14:textId="0656EB36" w:rsidR="000C41E1" w:rsidRDefault="00A779DF" w:rsidP="007F0706">
      <w:pPr>
        <w:ind w:left="2160"/>
      </w:pPr>
      <w:r>
        <w:t xml:space="preserve">4. </w:t>
      </w:r>
      <w:r w:rsidR="000C41E1" w:rsidRPr="00ED1AAA">
        <w:t>Adjustments are subject to budget availability and final administrative approval.</w:t>
      </w:r>
    </w:p>
    <w:p w14:paraId="053A3AA5" w14:textId="77777777" w:rsidR="008A0F17" w:rsidRPr="00ED1AAA" w:rsidRDefault="008A0F17" w:rsidP="007F0706">
      <w:pPr>
        <w:ind w:left="2160"/>
      </w:pPr>
    </w:p>
    <w:p w14:paraId="1B99250F" w14:textId="145C2351" w:rsidR="003635D3" w:rsidRDefault="003635D3" w:rsidP="005A3FE7">
      <w:pPr>
        <w:spacing w:after="0"/>
        <w:ind w:left="1080"/>
      </w:pPr>
      <w:r>
        <w:t xml:space="preserve">C. </w:t>
      </w:r>
      <w:r w:rsidR="000C41E1" w:rsidRPr="00ED1AAA">
        <w:t>Timing of Adjustment</w:t>
      </w:r>
    </w:p>
    <w:p w14:paraId="44441047" w14:textId="77777777" w:rsidR="005A3FE7" w:rsidRPr="00ED1AAA" w:rsidRDefault="005A3FE7" w:rsidP="005A3FE7">
      <w:pPr>
        <w:spacing w:after="0"/>
        <w:ind w:left="1080"/>
      </w:pPr>
    </w:p>
    <w:p w14:paraId="1AF7D6D9" w14:textId="392DE4E7" w:rsidR="003635D3" w:rsidRDefault="000C41E1" w:rsidP="003635D3">
      <w:pPr>
        <w:spacing w:after="0"/>
        <w:ind w:left="1440"/>
      </w:pPr>
      <w:r w:rsidRPr="00ED1AAA">
        <w:t>Approved salary adjustments will take effect at the beginning of the next</w:t>
      </w:r>
    </w:p>
    <w:p w14:paraId="4B551D53" w14:textId="30B334C1" w:rsidR="000C41E1" w:rsidRPr="00ED1AAA" w:rsidRDefault="000C41E1" w:rsidP="003635D3">
      <w:pPr>
        <w:spacing w:after="0"/>
        <w:ind w:left="1440"/>
      </w:pPr>
      <w:r w:rsidRPr="00ED1AAA">
        <w:t>fiscal quarter following verification of degree conferral and final approval.</w:t>
      </w:r>
    </w:p>
    <w:p w14:paraId="38776BF6" w14:textId="77777777" w:rsidR="003635D3" w:rsidRDefault="003635D3" w:rsidP="000C41E1">
      <w:pPr>
        <w:spacing w:after="0"/>
        <w:ind w:left="360"/>
      </w:pPr>
    </w:p>
    <w:p w14:paraId="552178AD" w14:textId="422007D5" w:rsidR="000C41E1" w:rsidRPr="00ED1AAA" w:rsidRDefault="003635D3" w:rsidP="003635D3">
      <w:pPr>
        <w:spacing w:after="0"/>
        <w:ind w:left="1080"/>
      </w:pPr>
      <w:r>
        <w:t>D</w:t>
      </w:r>
      <w:r w:rsidR="000C41E1" w:rsidRPr="00ED1AAA">
        <w:t>.</w:t>
      </w:r>
      <w:r w:rsidR="005A3FE7">
        <w:t xml:space="preserve"> </w:t>
      </w:r>
      <w:r w:rsidR="000C41E1" w:rsidRPr="00ED1AAA">
        <w:t xml:space="preserve"> Administrative Oversight</w:t>
      </w:r>
    </w:p>
    <w:p w14:paraId="001F5E04" w14:textId="35F34770" w:rsidR="000C41E1" w:rsidRPr="005A77E5" w:rsidRDefault="000C41E1" w:rsidP="005A3FE7">
      <w:pPr>
        <w:spacing w:after="0"/>
        <w:ind w:left="1440"/>
      </w:pPr>
      <w:r w:rsidRPr="00ED1AAA">
        <w:t>Human Resources will maintain documentation and ensure compliance</w:t>
      </w:r>
      <w:r w:rsidR="00B0041A">
        <w:t xml:space="preserve"> </w:t>
      </w:r>
      <w:r w:rsidRPr="00ED1AAA">
        <w:t xml:space="preserve">with </w:t>
      </w:r>
      <w:proofErr w:type="gramStart"/>
      <w:r w:rsidRPr="00ED1AAA">
        <w:t>University</w:t>
      </w:r>
      <w:proofErr w:type="gramEnd"/>
      <w:r w:rsidRPr="00ED1AAA">
        <w:t xml:space="preserve"> compensation policies and state regulations. The University reserves the right to amend or discontinue this policy at any time based on financial or operational needs.</w:t>
      </w:r>
    </w:p>
    <w:p w14:paraId="0EB402C7" w14:textId="77777777" w:rsidR="000F4FAE" w:rsidRPr="000F4FAE" w:rsidRDefault="000F4FAE" w:rsidP="000F4FAE">
      <w:pPr>
        <w:spacing w:after="0" w:line="276" w:lineRule="auto"/>
        <w:rPr>
          <w:b/>
          <w:bCs/>
        </w:rPr>
      </w:pPr>
    </w:p>
    <w:sectPr w:rsidR="000F4FAE" w:rsidRPr="000F4FAE" w:rsidSect="00850BB6">
      <w:headerReference w:type="default" r:id="rId11"/>
      <w:headerReference w:type="first" r:id="rId12"/>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1E5C6" w14:textId="77777777" w:rsidR="00D274CA" w:rsidRDefault="00D274CA" w:rsidP="00850BB6">
      <w:r>
        <w:separator/>
      </w:r>
    </w:p>
  </w:endnote>
  <w:endnote w:type="continuationSeparator" w:id="0">
    <w:p w14:paraId="418FF095" w14:textId="77777777" w:rsidR="00D274CA" w:rsidRDefault="00D274CA"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DC2E" w14:textId="77777777" w:rsidR="00D274CA" w:rsidRDefault="00D274CA" w:rsidP="00850BB6">
      <w:r>
        <w:separator/>
      </w:r>
    </w:p>
  </w:footnote>
  <w:footnote w:type="continuationSeparator" w:id="0">
    <w:p w14:paraId="324597ED" w14:textId="77777777" w:rsidR="00D274CA" w:rsidRDefault="00D274CA"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1DF7" w14:textId="0510DBAF" w:rsidR="00850BB6" w:rsidRPr="00850BB6" w:rsidRDefault="00850BB6" w:rsidP="0028462C">
    <w:pPr>
      <w:pStyle w:val="Header"/>
      <w:jc w:val="right"/>
    </w:pPr>
    <w:r w:rsidRPr="00850BB6">
      <w:t xml:space="preserve">Policy No. </w:t>
    </w:r>
    <w:r w:rsidR="00D33B87">
      <w:t>2.33</w:t>
    </w:r>
    <w:r w:rsidR="001E6A6D">
      <w:t>.</w:t>
    </w:r>
    <w:r w:rsidR="00D33B87">
      <w:t>0</w:t>
    </w:r>
    <w:r w:rsidR="001E6A6D">
      <w:t>5</w:t>
    </w:r>
  </w:p>
  <w:p w14:paraId="51673318"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7F1FF98E"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3F96DD71"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19B9FC8A" w14:textId="5D611F50" w:rsidR="00850BB6" w:rsidRPr="00850BB6" w:rsidRDefault="00850BB6" w:rsidP="00850BB6">
        <w:pPr>
          <w:pStyle w:val="Header"/>
          <w:jc w:val="right"/>
        </w:pPr>
        <w:r w:rsidRPr="00850BB6">
          <w:t xml:space="preserve">Policy No. </w:t>
        </w:r>
        <w:r w:rsidR="00E50290">
          <w:t>2.33.05</w:t>
        </w:r>
      </w:p>
      <w:p w14:paraId="0F19EE5C"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F3957"/>
    <w:multiLevelType w:val="multilevel"/>
    <w:tmpl w:val="E71495A8"/>
    <w:styleLink w:val="CurrentList2"/>
    <w:lvl w:ilvl="0">
      <w:start w:val="1"/>
      <w:numFmt w:val="upperLetter"/>
      <w:lvlText w:val="%1."/>
      <w:lvlJc w:val="left"/>
      <w:pPr>
        <w:ind w:left="1080" w:hanging="360"/>
      </w:pPr>
      <w:rPr>
        <w:rFonts w:ascii="Arial" w:hAnsi="Arial" w:hint="default"/>
      </w:rPr>
    </w:lvl>
    <w:lvl w:ilvl="1">
      <w:start w:val="1"/>
      <w:numFmt w:val="upperLetter"/>
      <w:lvlText w:val="%2."/>
      <w:lvlJc w:val="left"/>
      <w:pPr>
        <w:ind w:left="1800" w:hanging="360"/>
      </w:pPr>
      <w:rPr>
        <w:rFonts w:ascii="Arial" w:eastAsia="Roboto" w:hAnsi="Arial" w:cs="Arial"/>
      </w:rPr>
    </w:lvl>
    <w:lvl w:ilvl="2">
      <w:start w:val="1"/>
      <w:numFmt w:val="lowerLetter"/>
      <w:lvlText w:val="%3."/>
      <w:lvlJc w:val="right"/>
      <w:pPr>
        <w:ind w:left="2520" w:hanging="180"/>
      </w:pPr>
      <w:rPr>
        <w:rFonts w:ascii="Arial" w:hAnsi="Arial" w:hint="default"/>
      </w:rPr>
    </w:lvl>
    <w:lvl w:ilvl="3">
      <w:start w:val="1"/>
      <w:numFmt w:val="lowerRoman"/>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E42CA1"/>
    <w:multiLevelType w:val="hybridMultilevel"/>
    <w:tmpl w:val="5DFA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E3368"/>
    <w:multiLevelType w:val="hybridMultilevel"/>
    <w:tmpl w:val="E71495A8"/>
    <w:lvl w:ilvl="0" w:tplc="FFFFFFFF">
      <w:start w:val="1"/>
      <w:numFmt w:val="upperLetter"/>
      <w:lvlText w:val="%1."/>
      <w:lvlJc w:val="left"/>
      <w:pPr>
        <w:ind w:left="1080" w:hanging="360"/>
      </w:pPr>
      <w:rPr>
        <w:rFonts w:ascii="Arial" w:hAnsi="Arial" w:hint="default"/>
      </w:rPr>
    </w:lvl>
    <w:lvl w:ilvl="1" w:tplc="FFFFFFFF">
      <w:start w:val="1"/>
      <w:numFmt w:val="upperLetter"/>
      <w:lvlText w:val="%2."/>
      <w:lvlJc w:val="left"/>
      <w:pPr>
        <w:ind w:left="1800" w:hanging="360"/>
      </w:pPr>
      <w:rPr>
        <w:rFonts w:ascii="Arial" w:eastAsia="Roboto" w:hAnsi="Arial" w:cs="Arial"/>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84D037C"/>
    <w:multiLevelType w:val="hybridMultilevel"/>
    <w:tmpl w:val="35DCB724"/>
    <w:lvl w:ilvl="0" w:tplc="54327F9C">
      <w:start w:val="1"/>
      <w:numFmt w:val="upperLetter"/>
      <w:lvlText w:val="%1."/>
      <w:lvlJc w:val="left"/>
      <w:pPr>
        <w:ind w:left="1440" w:hanging="360"/>
      </w:pPr>
      <w:rPr>
        <w:rFonts w:ascii="Arial" w:eastAsia="Roboto" w:hAnsi="Arial" w:cs="Arial"/>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52621"/>
    <w:multiLevelType w:val="hybridMultilevel"/>
    <w:tmpl w:val="8F008ABC"/>
    <w:lvl w:ilvl="0" w:tplc="5DF4CF4A">
      <w:start w:val="1"/>
      <w:numFmt w:val="upperRoman"/>
      <w:lvlText w:val="%1."/>
      <w:lvlJc w:val="left"/>
      <w:pPr>
        <w:ind w:left="1080" w:hanging="720"/>
      </w:pPr>
      <w:rPr>
        <w:b/>
        <w:bCs/>
      </w:rPr>
    </w:lvl>
    <w:lvl w:ilvl="1" w:tplc="E4CC1390">
      <w:start w:val="1"/>
      <w:numFmt w:val="upperLetter"/>
      <w:lvlText w:val="%2."/>
      <w:lvlJc w:val="left"/>
      <w:pPr>
        <w:ind w:left="1440" w:hanging="360"/>
      </w:pPr>
      <w:rPr>
        <w:rFonts w:ascii="Arial" w:eastAsia="Roboto" w:hAnsi="Arial" w:cs="Arial"/>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D2C5C09"/>
    <w:multiLevelType w:val="hybridMultilevel"/>
    <w:tmpl w:val="5DFA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26243B2"/>
    <w:multiLevelType w:val="hybridMultilevel"/>
    <w:tmpl w:val="99A6DF74"/>
    <w:lvl w:ilvl="0" w:tplc="98A6B886">
      <w:start w:val="1"/>
      <w:numFmt w:val="upperLetter"/>
      <w:lvlText w:val="%1."/>
      <w:lvlJc w:val="left"/>
      <w:pPr>
        <w:ind w:left="1440" w:hanging="360"/>
      </w:pPr>
      <w:rPr>
        <w:rFonts w:ascii="Arial" w:eastAsia="Roboto"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11"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13"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4B23E1A"/>
    <w:multiLevelType w:val="hybridMultilevel"/>
    <w:tmpl w:val="BEF6953A"/>
    <w:lvl w:ilvl="0" w:tplc="04090015">
      <w:start w:val="1"/>
      <w:numFmt w:val="upperLetter"/>
      <w:lvlText w:val="%1."/>
      <w:lvlJc w:val="left"/>
      <w:pPr>
        <w:ind w:left="1425" w:hanging="360"/>
      </w:pPr>
      <w:rPr>
        <w:rFonts w:hint="default"/>
      </w:rPr>
    </w:lvl>
    <w:lvl w:ilvl="1" w:tplc="04090019">
      <w:start w:val="1"/>
      <w:numFmt w:val="lowerLetter"/>
      <w:lvlText w:val="%2."/>
      <w:lvlJc w:val="left"/>
      <w:pPr>
        <w:ind w:left="2145" w:hanging="360"/>
      </w:pPr>
    </w:lvl>
    <w:lvl w:ilvl="2" w:tplc="0409001B">
      <w:start w:val="1"/>
      <w:numFmt w:val="lowerRoman"/>
      <w:lvlText w:val="%3."/>
      <w:lvlJc w:val="right"/>
      <w:pPr>
        <w:ind w:left="2865" w:hanging="180"/>
      </w:pPr>
    </w:lvl>
    <w:lvl w:ilvl="3" w:tplc="0409000F">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5" w15:restartNumberingAfterBreak="0">
    <w:nsid w:val="35815E3D"/>
    <w:multiLevelType w:val="hybridMultilevel"/>
    <w:tmpl w:val="BEF6953A"/>
    <w:lvl w:ilvl="0" w:tplc="FFFFFFFF">
      <w:start w:val="1"/>
      <w:numFmt w:val="upperLetter"/>
      <w:lvlText w:val="%1."/>
      <w:lvlJc w:val="left"/>
      <w:pPr>
        <w:ind w:left="1425" w:hanging="360"/>
      </w:pPr>
      <w:rPr>
        <w:rFonts w:hint="default"/>
      </w:r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6" w15:restartNumberingAfterBreak="0">
    <w:nsid w:val="35E724A7"/>
    <w:multiLevelType w:val="hybridMultilevel"/>
    <w:tmpl w:val="5958E046"/>
    <w:lvl w:ilvl="0" w:tplc="FFFFFFFF">
      <w:start w:val="1"/>
      <w:numFmt w:val="upperLetter"/>
      <w:lvlText w:val="%1."/>
      <w:lvlJc w:val="left"/>
      <w:pPr>
        <w:ind w:left="1440" w:hanging="360"/>
      </w:pPr>
      <w:rPr>
        <w:rFonts w:hint="default"/>
      </w:rPr>
    </w:lvl>
    <w:lvl w:ilvl="1" w:tplc="FFFFFFFF">
      <w:start w:val="1"/>
      <w:numFmt w:val="upperLetter"/>
      <w:lvlText w:val="%2."/>
      <w:lvlJc w:val="left"/>
      <w:pPr>
        <w:ind w:left="2160" w:hanging="360"/>
      </w:pPr>
      <w:rPr>
        <w:rFonts w:ascii="Arial" w:eastAsia="Roboto" w:hAnsi="Arial" w:cs="Arial"/>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C0A0075"/>
    <w:multiLevelType w:val="hybridMultilevel"/>
    <w:tmpl w:val="5C56ADE8"/>
    <w:lvl w:ilvl="0" w:tplc="FFFFFFFF">
      <w:start w:val="1"/>
      <w:numFmt w:val="upperLetter"/>
      <w:lvlText w:val="%1."/>
      <w:lvlJc w:val="left"/>
      <w:pPr>
        <w:ind w:left="1440" w:hanging="360"/>
      </w:pPr>
      <w:rPr>
        <w:rFonts w:hint="default"/>
        <w:b w:val="0"/>
        <w:bCs/>
      </w:rPr>
    </w:lvl>
    <w:lvl w:ilvl="1" w:tplc="FFFFFFFF">
      <w:start w:val="1"/>
      <w:numFmt w:val="upperLetter"/>
      <w:lvlText w:val="%2."/>
      <w:lvlJc w:val="left"/>
      <w:pPr>
        <w:ind w:left="2160" w:hanging="360"/>
      </w:pPr>
      <w:rPr>
        <w:rFonts w:ascii="Arial" w:eastAsia="Roboto" w:hAnsi="Arial" w:cs="Arial"/>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C204E31"/>
    <w:multiLevelType w:val="hybridMultilevel"/>
    <w:tmpl w:val="B798CCA4"/>
    <w:lvl w:ilvl="0" w:tplc="0ED44190">
      <w:start w:val="1"/>
      <w:numFmt w:val="upp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9" w15:restartNumberingAfterBreak="0">
    <w:nsid w:val="3F377416"/>
    <w:multiLevelType w:val="hybridMultilevel"/>
    <w:tmpl w:val="5C56ADE8"/>
    <w:lvl w:ilvl="0" w:tplc="19983BCC">
      <w:start w:val="1"/>
      <w:numFmt w:val="upperLetter"/>
      <w:lvlText w:val="%1."/>
      <w:lvlJc w:val="left"/>
      <w:pPr>
        <w:ind w:left="1440" w:hanging="360"/>
      </w:pPr>
      <w:rPr>
        <w:rFonts w:hint="default"/>
        <w:b w:val="0"/>
        <w:bCs/>
      </w:rPr>
    </w:lvl>
    <w:lvl w:ilvl="1" w:tplc="FFFFFFFF">
      <w:start w:val="1"/>
      <w:numFmt w:val="upperLetter"/>
      <w:lvlText w:val="%2."/>
      <w:lvlJc w:val="left"/>
      <w:pPr>
        <w:ind w:left="2160" w:hanging="360"/>
      </w:pPr>
      <w:rPr>
        <w:rFonts w:ascii="Arial" w:eastAsia="Roboto" w:hAnsi="Arial" w:cs="Arial"/>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0CB718E"/>
    <w:multiLevelType w:val="hybridMultilevel"/>
    <w:tmpl w:val="5958E046"/>
    <w:lvl w:ilvl="0" w:tplc="1842218E">
      <w:start w:val="1"/>
      <w:numFmt w:val="upperLetter"/>
      <w:lvlText w:val="%1."/>
      <w:lvlJc w:val="left"/>
      <w:pPr>
        <w:ind w:left="1440" w:hanging="360"/>
      </w:pPr>
      <w:rPr>
        <w:rFonts w:hint="default"/>
      </w:rPr>
    </w:lvl>
    <w:lvl w:ilvl="1" w:tplc="9962DD70">
      <w:start w:val="1"/>
      <w:numFmt w:val="upperLetter"/>
      <w:lvlText w:val="%2."/>
      <w:lvlJc w:val="left"/>
      <w:pPr>
        <w:ind w:left="2160" w:hanging="360"/>
      </w:pPr>
      <w:rPr>
        <w:rFonts w:ascii="Arial" w:eastAsia="Roboto" w:hAnsi="Arial"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BE96B21"/>
    <w:multiLevelType w:val="hybridMultilevel"/>
    <w:tmpl w:val="4A54F964"/>
    <w:lvl w:ilvl="0" w:tplc="E4CC1390">
      <w:start w:val="1"/>
      <w:numFmt w:val="upperLetter"/>
      <w:lvlText w:val="%1."/>
      <w:lvlJc w:val="left"/>
      <w:pPr>
        <w:ind w:left="1440" w:hanging="360"/>
      </w:pPr>
      <w:rPr>
        <w:rFonts w:ascii="Arial" w:eastAsia="Roboto" w:hAnsi="Arial" w:cs="Arial"/>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26"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EAD6D57"/>
    <w:multiLevelType w:val="multilevel"/>
    <w:tmpl w:val="E71495A8"/>
    <w:styleLink w:val="CurrentList1"/>
    <w:lvl w:ilvl="0">
      <w:start w:val="1"/>
      <w:numFmt w:val="upperLetter"/>
      <w:lvlText w:val="%1."/>
      <w:lvlJc w:val="left"/>
      <w:pPr>
        <w:ind w:left="1080" w:hanging="360"/>
      </w:pPr>
      <w:rPr>
        <w:rFonts w:ascii="Arial" w:hAnsi="Arial" w:hint="default"/>
      </w:rPr>
    </w:lvl>
    <w:lvl w:ilvl="1">
      <w:start w:val="1"/>
      <w:numFmt w:val="upperLetter"/>
      <w:lvlText w:val="%2."/>
      <w:lvlJc w:val="left"/>
      <w:pPr>
        <w:ind w:left="1800" w:hanging="360"/>
      </w:pPr>
      <w:rPr>
        <w:rFonts w:ascii="Arial" w:eastAsia="Roboto" w:hAnsi="Arial" w:cs="Arial"/>
      </w:rPr>
    </w:lvl>
    <w:lvl w:ilvl="2">
      <w:start w:val="1"/>
      <w:numFmt w:val="lowerLetter"/>
      <w:lvlText w:val="%3."/>
      <w:lvlJc w:val="right"/>
      <w:pPr>
        <w:ind w:left="2520" w:hanging="180"/>
      </w:pPr>
      <w:rPr>
        <w:rFonts w:ascii="Arial" w:hAnsi="Arial" w:hint="default"/>
      </w:rPr>
    </w:lvl>
    <w:lvl w:ilvl="3">
      <w:start w:val="1"/>
      <w:numFmt w:val="lowerRoman"/>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1E00FD1"/>
    <w:multiLevelType w:val="hybridMultilevel"/>
    <w:tmpl w:val="F3A6C658"/>
    <w:lvl w:ilvl="0" w:tplc="98A6B886">
      <w:start w:val="1"/>
      <w:numFmt w:val="upperLetter"/>
      <w:lvlText w:val="%1."/>
      <w:lvlJc w:val="left"/>
      <w:pPr>
        <w:ind w:left="1440" w:hanging="360"/>
      </w:pPr>
      <w:rPr>
        <w:rFonts w:ascii="Arial" w:eastAsia="Roboto"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688D288E"/>
    <w:multiLevelType w:val="hybridMultilevel"/>
    <w:tmpl w:val="5DFA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C4482F"/>
    <w:multiLevelType w:val="hybridMultilevel"/>
    <w:tmpl w:val="556CA948"/>
    <w:lvl w:ilvl="0" w:tplc="FFFFFFFF">
      <w:start w:val="1"/>
      <w:numFmt w:val="upperLetter"/>
      <w:lvlText w:val="%1."/>
      <w:lvlJc w:val="left"/>
      <w:pPr>
        <w:ind w:left="1080" w:hanging="360"/>
      </w:pPr>
      <w:rPr>
        <w:rFonts w:ascii="Arial" w:hAnsi="Arial" w:hint="default"/>
      </w:rPr>
    </w:lvl>
    <w:lvl w:ilvl="1" w:tplc="D19CDF6C">
      <w:start w:val="1"/>
      <w:numFmt w:val="lowerLetter"/>
      <w:lvlText w:val="%2."/>
      <w:lvlJc w:val="left"/>
      <w:pPr>
        <w:ind w:left="1800" w:hanging="360"/>
      </w:pPr>
      <w:rPr>
        <w:rFonts w:ascii="Arial" w:eastAsia="Roboto" w:hAnsi="Arial" w:cs="Arial"/>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C111CC3"/>
    <w:multiLevelType w:val="hybridMultilevel"/>
    <w:tmpl w:val="B50AD640"/>
    <w:lvl w:ilvl="0" w:tplc="C73C04BC">
      <w:start w:val="1"/>
      <w:numFmt w:val="upperLetter"/>
      <w:lvlText w:val="%1."/>
      <w:lvlJc w:val="left"/>
      <w:pPr>
        <w:ind w:left="630" w:hanging="360"/>
      </w:pPr>
      <w:rPr>
        <w:rFonts w:ascii="Arial" w:eastAsia="Roboto" w:hAnsi="Arial" w:cs="Arial"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6DDE2D8C"/>
    <w:multiLevelType w:val="hybridMultilevel"/>
    <w:tmpl w:val="FEA2238A"/>
    <w:lvl w:ilvl="0" w:tplc="E4CC1390">
      <w:start w:val="1"/>
      <w:numFmt w:val="upperLetter"/>
      <w:lvlText w:val="%1."/>
      <w:lvlJc w:val="left"/>
      <w:pPr>
        <w:ind w:left="1440" w:hanging="360"/>
      </w:pPr>
      <w:rPr>
        <w:rFonts w:ascii="Arial" w:eastAsia="Roboto" w:hAnsi="Arial" w:cs="Arial"/>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F1033A"/>
    <w:multiLevelType w:val="hybridMultilevel"/>
    <w:tmpl w:val="5DFA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12"/>
  </w:num>
  <w:num w:numId="2" w16cid:durableId="113716084">
    <w:abstractNumId w:val="10"/>
  </w:num>
  <w:num w:numId="3" w16cid:durableId="1459684042">
    <w:abstractNumId w:val="25"/>
  </w:num>
  <w:num w:numId="4" w16cid:durableId="391583508">
    <w:abstractNumId w:val="1"/>
  </w:num>
  <w:num w:numId="5" w16cid:durableId="614485918">
    <w:abstractNumId w:val="37"/>
  </w:num>
  <w:num w:numId="6" w16cid:durableId="1262950861">
    <w:abstractNumId w:val="11"/>
  </w:num>
  <w:num w:numId="7" w16cid:durableId="1128091190">
    <w:abstractNumId w:val="22"/>
  </w:num>
  <w:num w:numId="8" w16cid:durableId="1668289952">
    <w:abstractNumId w:val="27"/>
  </w:num>
  <w:num w:numId="9" w16cid:durableId="94593619">
    <w:abstractNumId w:val="31"/>
  </w:num>
  <w:num w:numId="10" w16cid:durableId="2029023116">
    <w:abstractNumId w:val="13"/>
  </w:num>
  <w:num w:numId="11" w16cid:durableId="1335181389">
    <w:abstractNumId w:val="0"/>
  </w:num>
  <w:num w:numId="12" w16cid:durableId="1252279753">
    <w:abstractNumId w:val="29"/>
  </w:num>
  <w:num w:numId="13" w16cid:durableId="1760103445">
    <w:abstractNumId w:val="21"/>
  </w:num>
  <w:num w:numId="14" w16cid:durableId="620036725">
    <w:abstractNumId w:val="8"/>
  </w:num>
  <w:num w:numId="15" w16cid:durableId="854735415">
    <w:abstractNumId w:val="26"/>
  </w:num>
  <w:num w:numId="16" w16cid:durableId="1691955634">
    <w:abstractNumId w:val="33"/>
  </w:num>
  <w:num w:numId="17" w16cid:durableId="1312757595">
    <w:abstractNumId w:val="24"/>
  </w:num>
  <w:num w:numId="18" w16cid:durableId="2087022791">
    <w:abstractNumId w:val="38"/>
  </w:num>
  <w:num w:numId="19" w16cid:durableId="12716205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1306831">
    <w:abstractNumId w:val="6"/>
  </w:num>
  <w:num w:numId="21" w16cid:durableId="1925534475">
    <w:abstractNumId w:val="9"/>
  </w:num>
  <w:num w:numId="22" w16cid:durableId="1125084062">
    <w:abstractNumId w:val="30"/>
  </w:num>
  <w:num w:numId="23" w16cid:durableId="401028094">
    <w:abstractNumId w:val="23"/>
  </w:num>
  <w:num w:numId="24" w16cid:durableId="1237323986">
    <w:abstractNumId w:val="35"/>
  </w:num>
  <w:num w:numId="25" w16cid:durableId="421033388">
    <w:abstractNumId w:val="5"/>
  </w:num>
  <w:num w:numId="26" w16cid:durableId="1483815209">
    <w:abstractNumId w:val="4"/>
  </w:num>
  <w:num w:numId="27" w16cid:durableId="2125343442">
    <w:abstractNumId w:val="28"/>
  </w:num>
  <w:num w:numId="28" w16cid:durableId="69619223">
    <w:abstractNumId w:val="2"/>
  </w:num>
  <w:num w:numId="29" w16cid:durableId="176622822">
    <w:abstractNumId w:val="14"/>
  </w:num>
  <w:num w:numId="30" w16cid:durableId="698049876">
    <w:abstractNumId w:val="18"/>
  </w:num>
  <w:num w:numId="31" w16cid:durableId="1458790022">
    <w:abstractNumId w:val="20"/>
  </w:num>
  <w:num w:numId="32" w16cid:durableId="1307664261">
    <w:abstractNumId w:val="16"/>
  </w:num>
  <w:num w:numId="33" w16cid:durableId="1053968718">
    <w:abstractNumId w:val="19"/>
  </w:num>
  <w:num w:numId="34" w16cid:durableId="717705897">
    <w:abstractNumId w:val="17"/>
  </w:num>
  <w:num w:numId="35" w16cid:durableId="1018431110">
    <w:abstractNumId w:val="34"/>
  </w:num>
  <w:num w:numId="36" w16cid:durableId="2008287803">
    <w:abstractNumId w:val="32"/>
  </w:num>
  <w:num w:numId="37" w16cid:durableId="1738359519">
    <w:abstractNumId w:val="3"/>
  </w:num>
  <w:num w:numId="38" w16cid:durableId="162626146">
    <w:abstractNumId w:val="36"/>
  </w:num>
  <w:num w:numId="39" w16cid:durableId="1455516266">
    <w:abstractNumId w:val="7"/>
  </w:num>
  <w:num w:numId="40" w16cid:durableId="27803117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290"/>
    <w:rsid w:val="00001CE4"/>
    <w:rsid w:val="0001067C"/>
    <w:rsid w:val="00013680"/>
    <w:rsid w:val="00032971"/>
    <w:rsid w:val="000337ED"/>
    <w:rsid w:val="00042882"/>
    <w:rsid w:val="0004444A"/>
    <w:rsid w:val="000614E1"/>
    <w:rsid w:val="00064EB6"/>
    <w:rsid w:val="00083F79"/>
    <w:rsid w:val="00090FDB"/>
    <w:rsid w:val="000A0890"/>
    <w:rsid w:val="000A7A2D"/>
    <w:rsid w:val="000B0974"/>
    <w:rsid w:val="000B1F1D"/>
    <w:rsid w:val="000C1C50"/>
    <w:rsid w:val="000C41E1"/>
    <w:rsid w:val="000C5E8D"/>
    <w:rsid w:val="000E5F43"/>
    <w:rsid w:val="000F14BA"/>
    <w:rsid w:val="000F1AD1"/>
    <w:rsid w:val="000F4FAE"/>
    <w:rsid w:val="00103958"/>
    <w:rsid w:val="001352D7"/>
    <w:rsid w:val="0016650F"/>
    <w:rsid w:val="001A7DCD"/>
    <w:rsid w:val="001E6A6D"/>
    <w:rsid w:val="001F59BA"/>
    <w:rsid w:val="00207432"/>
    <w:rsid w:val="00216B7B"/>
    <w:rsid w:val="002522EF"/>
    <w:rsid w:val="00257607"/>
    <w:rsid w:val="0028462C"/>
    <w:rsid w:val="00286B30"/>
    <w:rsid w:val="00295658"/>
    <w:rsid w:val="00296AAD"/>
    <w:rsid w:val="002E7897"/>
    <w:rsid w:val="00303032"/>
    <w:rsid w:val="00334333"/>
    <w:rsid w:val="00355D71"/>
    <w:rsid w:val="003635D3"/>
    <w:rsid w:val="0037797A"/>
    <w:rsid w:val="00381AD3"/>
    <w:rsid w:val="00382C81"/>
    <w:rsid w:val="003B00F3"/>
    <w:rsid w:val="003D66B5"/>
    <w:rsid w:val="0040458B"/>
    <w:rsid w:val="00421EA3"/>
    <w:rsid w:val="00426EF7"/>
    <w:rsid w:val="00446A25"/>
    <w:rsid w:val="004520C0"/>
    <w:rsid w:val="00467B7D"/>
    <w:rsid w:val="00470BF5"/>
    <w:rsid w:val="00471A77"/>
    <w:rsid w:val="00483A52"/>
    <w:rsid w:val="00483E72"/>
    <w:rsid w:val="004A5AF3"/>
    <w:rsid w:val="004B1AE9"/>
    <w:rsid w:val="004B4E7E"/>
    <w:rsid w:val="004D1CBC"/>
    <w:rsid w:val="004E106A"/>
    <w:rsid w:val="004E163A"/>
    <w:rsid w:val="00500F4D"/>
    <w:rsid w:val="005079D3"/>
    <w:rsid w:val="00564FAC"/>
    <w:rsid w:val="0057247D"/>
    <w:rsid w:val="00583687"/>
    <w:rsid w:val="005868FF"/>
    <w:rsid w:val="00587413"/>
    <w:rsid w:val="00590D4B"/>
    <w:rsid w:val="005915C9"/>
    <w:rsid w:val="00595793"/>
    <w:rsid w:val="005A3FE7"/>
    <w:rsid w:val="005C66E4"/>
    <w:rsid w:val="00604CA0"/>
    <w:rsid w:val="006306D7"/>
    <w:rsid w:val="00641372"/>
    <w:rsid w:val="006443D9"/>
    <w:rsid w:val="006643D2"/>
    <w:rsid w:val="00673340"/>
    <w:rsid w:val="00675406"/>
    <w:rsid w:val="0068336C"/>
    <w:rsid w:val="0068495B"/>
    <w:rsid w:val="006969FF"/>
    <w:rsid w:val="006A1285"/>
    <w:rsid w:val="006A4E33"/>
    <w:rsid w:val="006C3921"/>
    <w:rsid w:val="006D27A8"/>
    <w:rsid w:val="006D3599"/>
    <w:rsid w:val="00712CF3"/>
    <w:rsid w:val="00725978"/>
    <w:rsid w:val="00730CB2"/>
    <w:rsid w:val="00740342"/>
    <w:rsid w:val="007428D0"/>
    <w:rsid w:val="00743556"/>
    <w:rsid w:val="0077009C"/>
    <w:rsid w:val="007700E6"/>
    <w:rsid w:val="00772927"/>
    <w:rsid w:val="007908EE"/>
    <w:rsid w:val="00797C69"/>
    <w:rsid w:val="007B72B1"/>
    <w:rsid w:val="007D2D63"/>
    <w:rsid w:val="007D3174"/>
    <w:rsid w:val="007D69D1"/>
    <w:rsid w:val="007D6D7B"/>
    <w:rsid w:val="007E2B67"/>
    <w:rsid w:val="007F0706"/>
    <w:rsid w:val="007F1A15"/>
    <w:rsid w:val="00813A36"/>
    <w:rsid w:val="0081434E"/>
    <w:rsid w:val="00815EF9"/>
    <w:rsid w:val="00850BB6"/>
    <w:rsid w:val="00855998"/>
    <w:rsid w:val="008644C9"/>
    <w:rsid w:val="008A0F17"/>
    <w:rsid w:val="008A559F"/>
    <w:rsid w:val="008A6A9F"/>
    <w:rsid w:val="008D11FC"/>
    <w:rsid w:val="008D147C"/>
    <w:rsid w:val="008E72FF"/>
    <w:rsid w:val="008E75A6"/>
    <w:rsid w:val="00927B74"/>
    <w:rsid w:val="00943E93"/>
    <w:rsid w:val="0095122E"/>
    <w:rsid w:val="0095BAA0"/>
    <w:rsid w:val="0097473A"/>
    <w:rsid w:val="009B68E5"/>
    <w:rsid w:val="009C0088"/>
    <w:rsid w:val="009C1891"/>
    <w:rsid w:val="009D2B60"/>
    <w:rsid w:val="009F2797"/>
    <w:rsid w:val="00A31526"/>
    <w:rsid w:val="00A32DF1"/>
    <w:rsid w:val="00A368F8"/>
    <w:rsid w:val="00A41E7E"/>
    <w:rsid w:val="00A513CB"/>
    <w:rsid w:val="00A540CC"/>
    <w:rsid w:val="00A54510"/>
    <w:rsid w:val="00A67A01"/>
    <w:rsid w:val="00A779DF"/>
    <w:rsid w:val="00A80783"/>
    <w:rsid w:val="00A92CAC"/>
    <w:rsid w:val="00A97E4C"/>
    <w:rsid w:val="00AC72D1"/>
    <w:rsid w:val="00AE011A"/>
    <w:rsid w:val="00B0041A"/>
    <w:rsid w:val="00B16CE7"/>
    <w:rsid w:val="00B219B1"/>
    <w:rsid w:val="00B32CA1"/>
    <w:rsid w:val="00B375FB"/>
    <w:rsid w:val="00B4566F"/>
    <w:rsid w:val="00B737E1"/>
    <w:rsid w:val="00B86E74"/>
    <w:rsid w:val="00BB2E44"/>
    <w:rsid w:val="00BC6D61"/>
    <w:rsid w:val="00BD63A5"/>
    <w:rsid w:val="00BD66E5"/>
    <w:rsid w:val="00BE02F1"/>
    <w:rsid w:val="00BE2C97"/>
    <w:rsid w:val="00BF755D"/>
    <w:rsid w:val="00C1193D"/>
    <w:rsid w:val="00C173A0"/>
    <w:rsid w:val="00C32CBB"/>
    <w:rsid w:val="00C36D1F"/>
    <w:rsid w:val="00C76451"/>
    <w:rsid w:val="00C83424"/>
    <w:rsid w:val="00C94A37"/>
    <w:rsid w:val="00C94EDD"/>
    <w:rsid w:val="00CA3FBC"/>
    <w:rsid w:val="00CB4FAC"/>
    <w:rsid w:val="00CC6331"/>
    <w:rsid w:val="00CD1FD0"/>
    <w:rsid w:val="00CD33CC"/>
    <w:rsid w:val="00CF3799"/>
    <w:rsid w:val="00D019AE"/>
    <w:rsid w:val="00D26FB3"/>
    <w:rsid w:val="00D274CA"/>
    <w:rsid w:val="00D33B87"/>
    <w:rsid w:val="00D36290"/>
    <w:rsid w:val="00D5129A"/>
    <w:rsid w:val="00D51368"/>
    <w:rsid w:val="00D549CF"/>
    <w:rsid w:val="00D5605A"/>
    <w:rsid w:val="00D62846"/>
    <w:rsid w:val="00D7304B"/>
    <w:rsid w:val="00D84162"/>
    <w:rsid w:val="00DB00FD"/>
    <w:rsid w:val="00DB2EBC"/>
    <w:rsid w:val="00DC5C0B"/>
    <w:rsid w:val="00DD488E"/>
    <w:rsid w:val="00DD60DE"/>
    <w:rsid w:val="00DE3225"/>
    <w:rsid w:val="00DF1EB7"/>
    <w:rsid w:val="00E1250B"/>
    <w:rsid w:val="00E50290"/>
    <w:rsid w:val="00E6577E"/>
    <w:rsid w:val="00E83337"/>
    <w:rsid w:val="00E8753C"/>
    <w:rsid w:val="00EE1292"/>
    <w:rsid w:val="00EF706C"/>
    <w:rsid w:val="00F33781"/>
    <w:rsid w:val="00F434F5"/>
    <w:rsid w:val="00F573D9"/>
    <w:rsid w:val="00F5780F"/>
    <w:rsid w:val="00F702BC"/>
    <w:rsid w:val="00F8446B"/>
    <w:rsid w:val="00F86AEB"/>
    <w:rsid w:val="00F86BA2"/>
    <w:rsid w:val="00F919CA"/>
    <w:rsid w:val="00FA5FDB"/>
    <w:rsid w:val="00FD2F73"/>
    <w:rsid w:val="00FD376F"/>
    <w:rsid w:val="00FD5C33"/>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458B1"/>
  <w15:chartTrackingRefBased/>
  <w15:docId w15:val="{9E5A82FB-857B-43DE-A3AE-53A48EEA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5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 w:type="numbering" w:customStyle="1" w:styleId="CurrentList1">
    <w:name w:val="Current List1"/>
    <w:uiPriority w:val="99"/>
    <w:rsid w:val="00CA3FBC"/>
    <w:pPr>
      <w:numPr>
        <w:numId w:val="27"/>
      </w:numPr>
    </w:pPr>
  </w:style>
  <w:style w:type="numbering" w:customStyle="1" w:styleId="CurrentList2">
    <w:name w:val="Current List2"/>
    <w:uiPriority w:val="99"/>
    <w:rsid w:val="00CA3FBC"/>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su.edu/administration/policies/pmfiles/pm-0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2.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49B91-6A62-484A-AA51-CF93D943A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2</TotalTime>
  <Pages>18</Pages>
  <Words>4009</Words>
  <Characters>22852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26808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2.33.05 - Guidelines for Faculty Compensation | LSUS</dc:title>
  <dc:subject/>
  <dc:creator>Kenetria Smith</dc:creator>
  <cp:keywords/>
  <dc:description/>
  <cp:lastModifiedBy>Landry Ray</cp:lastModifiedBy>
  <cp:revision>5</cp:revision>
  <dcterms:created xsi:type="dcterms:W3CDTF">2026-05-28T16:17:00Z</dcterms:created>
  <dcterms:modified xsi:type="dcterms:W3CDTF">2026-05-28T16:23:00Z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